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A67B11" w:rsidRPr="00AE2C6E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A67B11" w:rsidRPr="00AE2C6E" w:rsidRDefault="00A67B11" w:rsidP="009F5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ДЕПАРТАМЕНТ ОБРАЗОВАНИЯ И НАУКИ ТЮМЕНСКОЙ ОБЛАСТИ</w:t>
            </w:r>
          </w:p>
        </w:tc>
      </w:tr>
      <w:tr w:rsidR="00A67B11" w:rsidRPr="00AE2C6E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:rsidR="00A67B11" w:rsidRPr="00AE2C6E" w:rsidRDefault="00A67B11" w:rsidP="009F5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A67B11" w:rsidRPr="00AE2C6E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:rsidR="00A67B11" w:rsidRPr="00AE2C6E" w:rsidRDefault="00A67B11" w:rsidP="009F509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«ГОЛЫШМАНОВСКИЙ АГРОПЕДАГОГИЧЕСКИЙ КОЛЛЕДЖ»</w:t>
            </w:r>
          </w:p>
          <w:p w:rsidR="00A67B11" w:rsidRPr="00AE2C6E" w:rsidRDefault="00A67B11" w:rsidP="009F50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(ГАПОУ ТО «ГОЛЫШМАНОВСКИЙ АГРОПЕДКОЛЛЕДЖ»)</w:t>
            </w:r>
          </w:p>
        </w:tc>
      </w:tr>
      <w:tr w:rsidR="001D0D3C" w:rsidRPr="00AE2C6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AE2C6E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AE2C6E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AE2C6E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AE2C6E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AE2C6E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1D0D3C" w:rsidRPr="00AE2C6E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1D0D3C" w:rsidRPr="00AE2C6E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2C6E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1D0D3C" w:rsidRPr="00AE2C6E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2C6E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1D0D3C" w:rsidRPr="00AE2C6E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D0D3C" w:rsidRPr="00AE2C6E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AE2C6E" w:rsidRDefault="00A67B11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2C6E">
              <w:rPr>
                <w:rFonts w:ascii="Arial" w:hAnsi="Arial" w:cs="Arial"/>
                <w:b/>
                <w:sz w:val="24"/>
                <w:szCs w:val="24"/>
              </w:rPr>
              <w:t>ОПЦ 18.01.</w:t>
            </w:r>
            <w:r w:rsidR="00FC5F29" w:rsidRPr="00AE2C6E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AE2C6E">
              <w:rPr>
                <w:rFonts w:ascii="Arial" w:hAnsi="Arial" w:cs="Arial"/>
                <w:b/>
                <w:sz w:val="24"/>
                <w:szCs w:val="24"/>
              </w:rPr>
              <w:t xml:space="preserve">9 </w:t>
            </w:r>
            <w:r w:rsidR="00FC5F29" w:rsidRPr="00AE2C6E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771617" w:rsidRPr="00AE2C6E">
              <w:rPr>
                <w:rFonts w:ascii="Arial" w:hAnsi="Arial" w:cs="Arial"/>
                <w:b/>
                <w:sz w:val="24"/>
                <w:szCs w:val="24"/>
              </w:rPr>
              <w:t>ЭКСПОРТНЫЙ МЕНЕДЖМЕНТ</w:t>
            </w:r>
          </w:p>
        </w:tc>
      </w:tr>
      <w:tr w:rsidR="001D0D3C" w:rsidRPr="00AE2C6E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AE2C6E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AE2C6E">
              <w:rPr>
                <w:rFonts w:ascii="Arial" w:hAnsi="Arial" w:cs="Arial"/>
                <w:sz w:val="24"/>
                <w:szCs w:val="24"/>
              </w:rPr>
              <w:t>36</w:t>
            </w:r>
            <w:r w:rsidRPr="00AE2C6E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AE2C6E">
              <w:rPr>
                <w:rFonts w:ascii="Arial" w:hAnsi="Arial" w:cs="Arial"/>
                <w:sz w:val="24"/>
                <w:szCs w:val="24"/>
              </w:rPr>
              <w:t>ов</w:t>
            </w:r>
            <w:r w:rsidRPr="00AE2C6E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1D0D3C" w:rsidRPr="00AE2C6E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AE2C6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AE2C6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E2C6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E2C6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E2C6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E2C6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E2C6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E2C6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E2C6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E2C6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AE2C6E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AE2C6E" w:rsidRDefault="00A67B11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AE2C6E">
        <w:rPr>
          <w:rFonts w:ascii="Arial" w:hAnsi="Arial" w:cs="Arial"/>
          <w:sz w:val="24"/>
          <w:szCs w:val="24"/>
        </w:rPr>
        <w:t xml:space="preserve">Голышманово, </w:t>
      </w:r>
      <w:r w:rsidR="00A91058" w:rsidRPr="00AE2C6E">
        <w:rPr>
          <w:rFonts w:ascii="Arial" w:hAnsi="Arial" w:cs="Arial"/>
          <w:sz w:val="24"/>
          <w:szCs w:val="24"/>
        </w:rPr>
        <w:t>202</w:t>
      </w:r>
      <w:r w:rsidR="00294B26" w:rsidRPr="00AE2C6E">
        <w:rPr>
          <w:rFonts w:ascii="Arial" w:hAnsi="Arial" w:cs="Arial"/>
          <w:sz w:val="24"/>
          <w:szCs w:val="24"/>
        </w:rPr>
        <w:t>5</w:t>
      </w:r>
    </w:p>
    <w:p w:rsidR="00AD501C" w:rsidRPr="00AE2C6E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AE2C6E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AE2C6E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AE2C6E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AE2C6E">
        <w:rPr>
          <w:rFonts w:ascii="Arial" w:hAnsi="Arial" w:cs="Arial"/>
          <w:sz w:val="24"/>
          <w:szCs w:val="24"/>
        </w:rPr>
        <w:t>с целью</w:t>
      </w:r>
      <w:r w:rsidR="00485F26" w:rsidRPr="00AE2C6E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AE2C6E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AE2C6E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AE2C6E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AE2C6E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AE7BEF" w:rsidRPr="00AE2C6E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AE2C6E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380B01" w:rsidRPr="00AE2C6E" w:rsidRDefault="00380B01" w:rsidP="00380B01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AE2C6E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AE2C6E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380B01" w:rsidRPr="00AE2C6E" w:rsidRDefault="00380B01" w:rsidP="00380B01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380B01" w:rsidRPr="00AE2C6E" w:rsidRDefault="00380B01" w:rsidP="00380B01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AE2C6E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AE2C6E">
        <w:rPr>
          <w:rFonts w:ascii="Arial" w:hAnsi="Arial" w:cs="Arial"/>
          <w:b/>
          <w:sz w:val="24"/>
          <w:szCs w:val="24"/>
        </w:rPr>
        <w:t>:</w:t>
      </w:r>
      <w:r w:rsidRPr="00AE2C6E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AE2C6E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AE2C6E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972758" w:rsidRPr="00AE2C6E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AE2C6E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AE2C6E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1D0D3C" w:rsidRPr="00AE2C6E" w:rsidTr="00EA29FF">
        <w:tc>
          <w:tcPr>
            <w:tcW w:w="9638" w:type="dxa"/>
          </w:tcPr>
          <w:p w:rsidR="00A91058" w:rsidRPr="00AE2C6E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1D0D3C" w:rsidRPr="00AE2C6E" w:rsidTr="00EA29FF">
        <w:tc>
          <w:tcPr>
            <w:tcW w:w="9638" w:type="dxa"/>
          </w:tcPr>
          <w:p w:rsidR="00A91058" w:rsidRPr="00AE2C6E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AE2C6E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AE2C6E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1D0D3C" w:rsidRPr="00AE2C6E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AE2C6E" w:rsidRDefault="00A67B11" w:rsidP="00294B26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AE2C6E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Pr="00AE2C6E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AE2C6E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Pr="00AE2C6E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AE2C6E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Pr="00AE2C6E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AE2C6E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AE2C6E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25</w:t>
            </w:r>
            <w:r w:rsidRPr="00AE2C6E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1D0D3C" w:rsidRPr="00AE2C6E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AE2C6E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AE2C6E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AE2C6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E2C6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E2C6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E2C6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AE2C6E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AE2C6E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AE2C6E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AE2C6E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AE2C6E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E2C6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E2C6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E2C6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AE2C6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AE2C6E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AE2C6E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AE2C6E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br w:type="page"/>
      </w:r>
    </w:p>
    <w:p w:rsidR="008F3AF3" w:rsidRPr="00AE2C6E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E2C6E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1D0D3C" w:rsidRPr="00AE2C6E" w:rsidTr="0080401A">
        <w:tc>
          <w:tcPr>
            <w:tcW w:w="7650" w:type="dxa"/>
          </w:tcPr>
          <w:p w:rsidR="00DF3D88" w:rsidRPr="00AE2C6E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AE2C6E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1D0D3C" w:rsidRPr="00AE2C6E" w:rsidTr="0080401A">
        <w:tc>
          <w:tcPr>
            <w:tcW w:w="7650" w:type="dxa"/>
          </w:tcPr>
          <w:p w:rsidR="00DF3D88" w:rsidRPr="00AE2C6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AE2C6E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AE2C6E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AE2C6E">
              <w:rPr>
                <w:rFonts w:ascii="Arial" w:hAnsi="Arial" w:cs="Arial"/>
                <w:szCs w:val="24"/>
              </w:rPr>
              <w:t>4</w:t>
            </w:r>
          </w:p>
        </w:tc>
      </w:tr>
      <w:tr w:rsidR="001D0D3C" w:rsidRPr="00AE2C6E" w:rsidTr="0080401A">
        <w:tc>
          <w:tcPr>
            <w:tcW w:w="7650" w:type="dxa"/>
          </w:tcPr>
          <w:p w:rsidR="00DF3D88" w:rsidRPr="00AE2C6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AE2C6E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AE2C6E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AE2C6E">
              <w:rPr>
                <w:rFonts w:ascii="Arial" w:hAnsi="Arial" w:cs="Arial"/>
                <w:szCs w:val="24"/>
              </w:rPr>
              <w:t>5</w:t>
            </w:r>
          </w:p>
        </w:tc>
      </w:tr>
      <w:tr w:rsidR="001D0D3C" w:rsidRPr="00AE2C6E" w:rsidTr="0080401A">
        <w:tc>
          <w:tcPr>
            <w:tcW w:w="7650" w:type="dxa"/>
          </w:tcPr>
          <w:p w:rsidR="00DF3D88" w:rsidRPr="00AE2C6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AE2C6E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AE2C6E" w:rsidRDefault="00AE2C6E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</w:t>
            </w:r>
          </w:p>
        </w:tc>
      </w:tr>
      <w:tr w:rsidR="001D0D3C" w:rsidRPr="00AE2C6E" w:rsidTr="0080401A">
        <w:tc>
          <w:tcPr>
            <w:tcW w:w="7650" w:type="dxa"/>
          </w:tcPr>
          <w:p w:rsidR="00DF3D88" w:rsidRPr="00AE2C6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AE2C6E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AE2C6E" w:rsidRDefault="00AE2C6E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11</w:t>
            </w:r>
            <w:bookmarkStart w:id="3" w:name="_GoBack"/>
            <w:bookmarkEnd w:id="3"/>
          </w:p>
        </w:tc>
      </w:tr>
    </w:tbl>
    <w:p w:rsidR="008F3AF3" w:rsidRPr="00AE2C6E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AE2C6E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AE2C6E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AE2C6E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AE2C6E" w:rsidRDefault="008F3AF3" w:rsidP="00621637">
      <w:pPr>
        <w:spacing w:after="120" w:line="240" w:lineRule="auto"/>
        <w:ind w:hanging="567"/>
        <w:jc w:val="center"/>
        <w:rPr>
          <w:rFonts w:ascii="Arial" w:hAnsi="Arial" w:cs="Arial"/>
          <w:b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br w:type="page"/>
      </w:r>
      <w:r w:rsidRPr="00AE2C6E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AE2C6E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AE2C6E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AE2C6E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4" w:name="_Hlk41573478"/>
      <w:r w:rsidR="000375E5" w:rsidRPr="00AE2C6E">
        <w:rPr>
          <w:rFonts w:ascii="Arial" w:hAnsi="Arial" w:cs="Arial"/>
          <w:sz w:val="24"/>
          <w:szCs w:val="24"/>
        </w:rPr>
        <w:t xml:space="preserve"> </w:t>
      </w:r>
      <w:bookmarkEnd w:id="4"/>
      <w:r w:rsidR="00771617" w:rsidRPr="00AE2C6E">
        <w:rPr>
          <w:rFonts w:ascii="Arial" w:hAnsi="Arial" w:cs="Arial"/>
          <w:iCs/>
          <w:sz w:val="24"/>
          <w:szCs w:val="24"/>
        </w:rPr>
        <w:t>Экспортный менеджмент</w:t>
      </w:r>
      <w:r w:rsidR="00771617" w:rsidRPr="00AE2C6E">
        <w:rPr>
          <w:rFonts w:ascii="Arial" w:hAnsi="Arial" w:cs="Arial"/>
          <w:sz w:val="24"/>
          <w:szCs w:val="24"/>
        </w:rPr>
        <w:t xml:space="preserve"> </w:t>
      </w:r>
      <w:r w:rsidRPr="00AE2C6E">
        <w:rPr>
          <w:rFonts w:ascii="Arial" w:hAnsi="Arial" w:cs="Arial"/>
          <w:sz w:val="24"/>
          <w:szCs w:val="24"/>
        </w:rPr>
        <w:t>является</w:t>
      </w:r>
      <w:r w:rsidR="00485F26" w:rsidRPr="00AE2C6E">
        <w:rPr>
          <w:rFonts w:ascii="Arial" w:hAnsi="Arial" w:cs="Arial"/>
          <w:sz w:val="24"/>
          <w:szCs w:val="24"/>
        </w:rPr>
        <w:t xml:space="preserve"> вариативной</w:t>
      </w:r>
      <w:r w:rsidRPr="00AE2C6E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AE2C6E">
        <w:rPr>
          <w:rFonts w:ascii="Arial" w:hAnsi="Arial" w:cs="Arial"/>
          <w:sz w:val="24"/>
          <w:szCs w:val="24"/>
        </w:rPr>
        <w:t>.</w:t>
      </w:r>
    </w:p>
    <w:p w:rsidR="0006048C" w:rsidRPr="00AE2C6E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AE2C6E">
        <w:rPr>
          <w:rFonts w:ascii="Arial" w:hAnsi="Arial" w:cs="Arial"/>
          <w:sz w:val="24"/>
          <w:szCs w:val="24"/>
        </w:rPr>
        <w:t xml:space="preserve"> учебной</w:t>
      </w:r>
      <w:r w:rsidRPr="00AE2C6E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1D0D3C" w:rsidRPr="00AE2C6E" w:rsidTr="0019434A">
        <w:trPr>
          <w:trHeight w:val="664"/>
        </w:trPr>
        <w:tc>
          <w:tcPr>
            <w:tcW w:w="2507" w:type="pct"/>
            <w:vAlign w:val="center"/>
          </w:tcPr>
          <w:p w:rsidR="0019434A" w:rsidRPr="00AE2C6E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AE2C6E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1D0D3C" w:rsidRPr="00AE2C6E" w:rsidTr="0019434A">
        <w:trPr>
          <w:trHeight w:val="279"/>
        </w:trPr>
        <w:tc>
          <w:tcPr>
            <w:tcW w:w="2507" w:type="pct"/>
          </w:tcPr>
          <w:p w:rsidR="00B952D5" w:rsidRPr="00AE2C6E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AE2C6E">
              <w:rPr>
                <w:rFonts w:ascii="Arial" w:hAnsi="Arial" w:cs="Arial"/>
                <w:sz w:val="24"/>
                <w:szCs w:val="24"/>
              </w:rPr>
              <w:t>рассчитывать показатели эффективности экспортной деятельности предприятия</w:t>
            </w:r>
          </w:p>
          <w:p w:rsidR="00B952D5" w:rsidRPr="00AE2C6E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 -прогнозировать и осуществлять выбор направлений работы на внешних </w:t>
            </w:r>
            <w:proofErr w:type="gramStart"/>
            <w:r w:rsidRPr="00AE2C6E">
              <w:rPr>
                <w:rFonts w:ascii="Arial" w:hAnsi="Arial" w:cs="Arial"/>
                <w:sz w:val="24"/>
                <w:szCs w:val="24"/>
              </w:rPr>
              <w:t>рынках</w:t>
            </w:r>
            <w:proofErr w:type="gramEnd"/>
            <w:r w:rsidRPr="00AE2C6E">
              <w:rPr>
                <w:rFonts w:ascii="Arial" w:hAnsi="Arial" w:cs="Arial"/>
                <w:sz w:val="24"/>
                <w:szCs w:val="24"/>
              </w:rPr>
              <w:t>, ориентироваться на получение оптимального эффекта</w:t>
            </w:r>
          </w:p>
          <w:p w:rsidR="00B952D5" w:rsidRPr="00AE2C6E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AE2C6E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AE2C6E">
              <w:rPr>
                <w:rFonts w:ascii="Arial" w:hAnsi="Arial" w:cs="Arial"/>
                <w:sz w:val="24"/>
                <w:szCs w:val="24"/>
              </w:rPr>
              <w:t>вырабатывать практические навыки для реализации действий экспортера и импортера в конкретных ситуациях</w:t>
            </w:r>
          </w:p>
          <w:p w:rsidR="00B952D5" w:rsidRPr="00AE2C6E" w:rsidRDefault="00B952D5" w:rsidP="00B952D5">
            <w:pPr>
              <w:pStyle w:val="a8"/>
              <w:tabs>
                <w:tab w:val="left" w:pos="291"/>
              </w:tabs>
              <w:spacing w:before="0" w:after="0"/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93" w:type="pct"/>
          </w:tcPr>
          <w:p w:rsidR="00B952D5" w:rsidRPr="00AE2C6E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AE2C6E">
              <w:rPr>
                <w:rFonts w:ascii="Arial" w:hAnsi="Arial" w:cs="Arial"/>
                <w:sz w:val="24"/>
                <w:szCs w:val="24"/>
              </w:rPr>
              <w:t>методы регулирования международных торгово-экономических отношений, международного ценообразования</w:t>
            </w:r>
          </w:p>
          <w:p w:rsidR="00B952D5" w:rsidRPr="00AE2C6E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- организацию ВЭД предприятий различных форм собственности, в особенности, торговых фирм</w:t>
            </w:r>
          </w:p>
          <w:p w:rsidR="00B952D5" w:rsidRPr="00AE2C6E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- иметь представление об инструментах государственного регулирования ВЭД, платежно-расчетных отношений</w:t>
            </w:r>
          </w:p>
          <w:p w:rsidR="00B952D5" w:rsidRPr="00AE2C6E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 по    внешнеэкономическим операциям.</w:t>
            </w:r>
          </w:p>
          <w:p w:rsidR="00B952D5" w:rsidRPr="00AE2C6E" w:rsidRDefault="00B952D5" w:rsidP="00B952D5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 -  методы сбора и обработки коммерческой информации для проведения исследований и оценки перспектив зарубежных рынков</w:t>
            </w:r>
          </w:p>
        </w:tc>
      </w:tr>
    </w:tbl>
    <w:p w:rsidR="0006048C" w:rsidRPr="00AE2C6E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AE2C6E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 xml:space="preserve">1.3. </w:t>
      </w:r>
      <w:bookmarkStart w:id="5" w:name="_Hlk41562374"/>
      <w:r w:rsidR="00214742" w:rsidRPr="00AE2C6E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623"/>
        <w:gridCol w:w="2164"/>
        <w:gridCol w:w="1838"/>
        <w:gridCol w:w="925"/>
        <w:gridCol w:w="1138"/>
        <w:gridCol w:w="2166"/>
      </w:tblGrid>
      <w:tr w:rsidR="001D0D3C" w:rsidRPr="00AE2C6E" w:rsidTr="005E72CD">
        <w:tc>
          <w:tcPr>
            <w:tcW w:w="826" w:type="pct"/>
            <w:vMerge w:val="restart"/>
          </w:tcPr>
          <w:p w:rsidR="005E72CD" w:rsidRPr="00AE2C6E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AE2C6E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AE2C6E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1D0D3C" w:rsidRPr="00AE2C6E" w:rsidTr="005E72CD">
        <w:trPr>
          <w:trHeight w:val="525"/>
        </w:trPr>
        <w:tc>
          <w:tcPr>
            <w:tcW w:w="826" w:type="pct"/>
            <w:vMerge/>
          </w:tcPr>
          <w:p w:rsidR="00485F26" w:rsidRPr="00AE2C6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AE2C6E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AE2C6E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AE2C6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AE2C6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1D0D3C" w:rsidRPr="00AE2C6E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AE2C6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AE2C6E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AE2C6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AE2C6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AE2C6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AE2C6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AE2C6E" w:rsidRDefault="00771617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AE2C6E">
              <w:rPr>
                <w:rFonts w:ascii="Arial" w:hAnsi="Arial" w:cs="Arial"/>
                <w:iCs/>
                <w:sz w:val="24"/>
                <w:szCs w:val="24"/>
              </w:rPr>
              <w:t>Экспортный менеджмент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AE2C6E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AE2C6E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AE2C6E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AE2C6E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AE2C6E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AE2C6E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AE2C6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AE2C6E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5"/>
    </w:tbl>
    <w:p w:rsidR="009730A7" w:rsidRPr="00AE2C6E" w:rsidRDefault="009730A7" w:rsidP="0006048C">
      <w:pPr>
        <w:rPr>
          <w:rFonts w:ascii="Arial" w:hAnsi="Arial" w:cs="Arial"/>
          <w:sz w:val="24"/>
          <w:szCs w:val="24"/>
        </w:rPr>
      </w:pPr>
    </w:p>
    <w:p w:rsidR="0006048C" w:rsidRPr="00AE2C6E" w:rsidRDefault="009730A7" w:rsidP="00AE2C6E">
      <w:pPr>
        <w:spacing w:after="160" w:line="259" w:lineRule="auto"/>
        <w:jc w:val="center"/>
        <w:rPr>
          <w:rFonts w:ascii="Arial" w:hAnsi="Arial" w:cs="Arial"/>
          <w:b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br w:type="page"/>
      </w:r>
      <w:r w:rsidR="0006048C" w:rsidRPr="00AE2C6E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AE2C6E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AE2C6E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1D0D3C" w:rsidRPr="00AE2C6E" w:rsidTr="007254E9">
        <w:trPr>
          <w:trHeight w:val="490"/>
        </w:trPr>
        <w:tc>
          <w:tcPr>
            <w:tcW w:w="4316" w:type="pct"/>
            <w:vAlign w:val="center"/>
          </w:tcPr>
          <w:p w:rsidR="0006048C" w:rsidRPr="00AE2C6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AE2C6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AE2C6E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AE2C6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1D0D3C" w:rsidRPr="00AE2C6E" w:rsidTr="0041530A">
        <w:trPr>
          <w:trHeight w:val="65"/>
        </w:trPr>
        <w:tc>
          <w:tcPr>
            <w:tcW w:w="4316" w:type="pct"/>
            <w:vAlign w:val="center"/>
          </w:tcPr>
          <w:p w:rsidR="0006048C" w:rsidRPr="00AE2C6E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AE2C6E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AE2C6E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1D0D3C" w:rsidRPr="00AE2C6E" w:rsidTr="0041530A">
        <w:trPr>
          <w:trHeight w:val="65"/>
        </w:trPr>
        <w:tc>
          <w:tcPr>
            <w:tcW w:w="4316" w:type="pct"/>
            <w:vAlign w:val="center"/>
          </w:tcPr>
          <w:p w:rsidR="0006048C" w:rsidRPr="00AE2C6E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AE2C6E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AE2C6E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AE2C6E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1D0D3C" w:rsidRPr="00AE2C6E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AE2C6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1D0D3C" w:rsidRPr="00AE2C6E" w:rsidTr="0041530A">
        <w:trPr>
          <w:trHeight w:val="65"/>
        </w:trPr>
        <w:tc>
          <w:tcPr>
            <w:tcW w:w="4316" w:type="pct"/>
            <w:vAlign w:val="center"/>
          </w:tcPr>
          <w:p w:rsidR="0006048C" w:rsidRPr="00AE2C6E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AE2C6E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AE2C6E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1D0D3C" w:rsidRPr="00AE2C6E" w:rsidTr="0041530A">
        <w:trPr>
          <w:trHeight w:val="65"/>
        </w:trPr>
        <w:tc>
          <w:tcPr>
            <w:tcW w:w="4316" w:type="pct"/>
            <w:vAlign w:val="center"/>
          </w:tcPr>
          <w:p w:rsidR="0006048C" w:rsidRPr="00AE2C6E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AE2C6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AE2C6E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1D0D3C" w:rsidRPr="00AE2C6E" w:rsidTr="0041530A">
        <w:trPr>
          <w:trHeight w:val="65"/>
        </w:trPr>
        <w:tc>
          <w:tcPr>
            <w:tcW w:w="4316" w:type="pct"/>
            <w:vAlign w:val="center"/>
          </w:tcPr>
          <w:p w:rsidR="0006048C" w:rsidRPr="00AE2C6E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AE2C6E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AE2C6E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1D0D3C" w:rsidRPr="00AE2C6E" w:rsidTr="0041530A">
        <w:trPr>
          <w:trHeight w:val="65"/>
        </w:trPr>
        <w:tc>
          <w:tcPr>
            <w:tcW w:w="4316" w:type="pct"/>
            <w:vAlign w:val="center"/>
          </w:tcPr>
          <w:p w:rsidR="0006048C" w:rsidRPr="00AE2C6E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E2C6E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AE2C6E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AE2C6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AE2C6E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1D0D3C" w:rsidRPr="00AE2C6E" w:rsidTr="0041530A">
        <w:trPr>
          <w:trHeight w:val="65"/>
        </w:trPr>
        <w:tc>
          <w:tcPr>
            <w:tcW w:w="4316" w:type="pct"/>
            <w:vAlign w:val="center"/>
          </w:tcPr>
          <w:p w:rsidR="0006048C" w:rsidRPr="00AE2C6E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AE2C6E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AE2C6E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1D0D3C" w:rsidRPr="00AE2C6E" w:rsidTr="0041530A">
        <w:trPr>
          <w:trHeight w:val="65"/>
        </w:trPr>
        <w:tc>
          <w:tcPr>
            <w:tcW w:w="4316" w:type="pct"/>
            <w:vAlign w:val="center"/>
          </w:tcPr>
          <w:p w:rsidR="0006048C" w:rsidRPr="00AE2C6E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AE2C6E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AE2C6E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AE2C6E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AE2C6E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AE2C6E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AE2C6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AE2C6E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AE2C6E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AE2C6E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AE2C6E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AE2C6E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AE2C6E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B952D5" w:rsidRPr="00AE2C6E">
        <w:rPr>
          <w:rFonts w:ascii="Arial" w:hAnsi="Arial" w:cs="Arial"/>
          <w:b/>
          <w:sz w:val="24"/>
          <w:szCs w:val="24"/>
        </w:rPr>
        <w:t>Экспортный менеджмент</w:t>
      </w:r>
    </w:p>
    <w:tbl>
      <w:tblPr>
        <w:tblW w:w="51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6"/>
        <w:gridCol w:w="10326"/>
        <w:gridCol w:w="989"/>
      </w:tblGrid>
      <w:tr w:rsidR="001D0D3C" w:rsidRPr="00AE2C6E" w:rsidTr="00B952D5">
        <w:trPr>
          <w:trHeight w:val="20"/>
          <w:tblHeader/>
        </w:trPr>
        <w:tc>
          <w:tcPr>
            <w:tcW w:w="1289" w:type="pct"/>
            <w:vAlign w:val="center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412" w:type="pct"/>
            <w:vAlign w:val="center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E2C6E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99" w:type="pct"/>
            <w:vAlign w:val="center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1D0D3C" w:rsidRPr="00AE2C6E" w:rsidTr="00B952D5">
        <w:trPr>
          <w:trHeight w:val="20"/>
          <w:tblHeader/>
        </w:trPr>
        <w:tc>
          <w:tcPr>
            <w:tcW w:w="1289" w:type="pc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D0D3C" w:rsidRPr="00AE2C6E" w:rsidTr="00B952D5">
        <w:trPr>
          <w:trHeight w:val="20"/>
        </w:trPr>
        <w:tc>
          <w:tcPr>
            <w:tcW w:w="4701" w:type="pct"/>
            <w:gridSpan w:val="2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Раздел 1. Основы международного менеджмента</w:t>
            </w:r>
          </w:p>
        </w:tc>
        <w:tc>
          <w:tcPr>
            <w:tcW w:w="299" w:type="pc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 w:val="restar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Тема 1.1.</w:t>
            </w: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Понятие и виды </w:t>
            </w:r>
            <w:proofErr w:type="gramStart"/>
            <w:r w:rsidRPr="00AE2C6E">
              <w:rPr>
                <w:rFonts w:ascii="Arial" w:hAnsi="Arial" w:cs="Arial"/>
                <w:sz w:val="24"/>
                <w:szCs w:val="24"/>
              </w:rPr>
              <w:t>внешнеэкономической</w:t>
            </w:r>
            <w:proofErr w:type="gramEnd"/>
            <w:r w:rsidRPr="00AE2C6E">
              <w:rPr>
                <w:rFonts w:ascii="Arial" w:hAnsi="Arial" w:cs="Arial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9" w:type="pct"/>
            <w:vMerge w:val="restar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E2C6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Виды и формы ВЭД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Признаки </w:t>
            </w:r>
            <w:proofErr w:type="gramStart"/>
            <w:r w:rsidRPr="00AE2C6E">
              <w:rPr>
                <w:rFonts w:ascii="Arial" w:hAnsi="Arial" w:cs="Arial"/>
                <w:sz w:val="24"/>
                <w:szCs w:val="24"/>
              </w:rPr>
              <w:t>внешнеэкономической</w:t>
            </w:r>
            <w:proofErr w:type="gramEnd"/>
            <w:r w:rsidRPr="00AE2C6E">
              <w:rPr>
                <w:rFonts w:ascii="Arial" w:hAnsi="Arial" w:cs="Arial"/>
                <w:sz w:val="24"/>
                <w:szCs w:val="24"/>
              </w:rPr>
              <w:t xml:space="preserve"> деятельности  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Внешнеэкономический потенциал региона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 w:val="restar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Тема 1.2.</w:t>
            </w: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Экспорт как форма </w:t>
            </w:r>
            <w:proofErr w:type="gramStart"/>
            <w:r w:rsidRPr="00AE2C6E">
              <w:rPr>
                <w:rFonts w:ascii="Arial" w:hAnsi="Arial" w:cs="Arial"/>
                <w:sz w:val="24"/>
                <w:szCs w:val="24"/>
              </w:rPr>
              <w:t>внешнеэкономической</w:t>
            </w:r>
            <w:proofErr w:type="gramEnd"/>
            <w:r w:rsidRPr="00AE2C6E">
              <w:rPr>
                <w:rFonts w:ascii="Arial" w:hAnsi="Arial" w:cs="Arial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E2C6E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Понятие экспорта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Основные преимущества </w:t>
            </w:r>
            <w:proofErr w:type="gramStart"/>
            <w:r w:rsidRPr="00AE2C6E">
              <w:rPr>
                <w:rFonts w:ascii="Arial" w:hAnsi="Arial" w:cs="Arial"/>
                <w:sz w:val="24"/>
                <w:szCs w:val="24"/>
              </w:rPr>
              <w:t>экспортной</w:t>
            </w:r>
            <w:proofErr w:type="gramEnd"/>
            <w:r w:rsidRPr="00AE2C6E">
              <w:rPr>
                <w:rFonts w:ascii="Arial" w:hAnsi="Arial" w:cs="Arial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109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Этапы реформирования и становления ВЭД в России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5000" w:type="pct"/>
            <w:gridSpan w:val="3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bCs/>
                <w:sz w:val="24"/>
                <w:szCs w:val="24"/>
              </w:rPr>
              <w:t xml:space="preserve">Раздел 2 Управление экспортной деятельностью на </w:t>
            </w:r>
            <w:proofErr w:type="gramStart"/>
            <w:r w:rsidRPr="00AE2C6E">
              <w:rPr>
                <w:rFonts w:ascii="Arial" w:hAnsi="Arial" w:cs="Arial"/>
                <w:bCs/>
                <w:sz w:val="24"/>
                <w:szCs w:val="24"/>
              </w:rPr>
              <w:t>предприятии</w:t>
            </w:r>
            <w:proofErr w:type="gramEnd"/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 w:val="restar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Тема 2.1. </w:t>
            </w: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Формирование экспортной стратегии предприятия: оценка экспортного потенциала и внешних рынков</w:t>
            </w: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E2C6E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D0D3C" w:rsidRPr="00AE2C6E" w:rsidTr="00B952D5">
        <w:trPr>
          <w:trHeight w:val="192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Факторы, влияющие на формирование стратегии предприятия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192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Основные методы международной сегментации и выбора целевого рынка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Основные этапы анализа внешнего рынка.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Основные виды торговых посредников</w:t>
            </w:r>
          </w:p>
        </w:tc>
        <w:tc>
          <w:tcPr>
            <w:tcW w:w="299" w:type="pc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9" w:type="pct"/>
            <w:vMerge w:val="restar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D0D3C" w:rsidRPr="00AE2C6E" w:rsidTr="00B952D5">
        <w:trPr>
          <w:trHeight w:val="216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Практическое занятие № 1. Оценка экспортного потенциала Тюменской области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 w:val="restart"/>
            <w:tcBorders>
              <w:top w:val="single" w:sz="4" w:space="0" w:color="auto"/>
            </w:tcBorders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Тема 2.2. </w:t>
            </w: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Основы государственного регулирования экспорта в РФ</w:t>
            </w: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  <w:tcBorders>
              <w:top w:val="single" w:sz="4" w:space="0" w:color="auto"/>
            </w:tcBorders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E2C6E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</w:tcBorders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E2C6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1D0D3C" w:rsidRPr="00AE2C6E" w:rsidTr="00B952D5">
        <w:trPr>
          <w:trHeight w:val="823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Направления торговой политики; Основные принципы государственного регулирования внешнеторговой деятельности; Таможенный Кодекс ЕАЭС; Единая система тарифных преференций; </w:t>
            </w:r>
            <w:proofErr w:type="gramStart"/>
            <w:r w:rsidRPr="00AE2C6E">
              <w:rPr>
                <w:rFonts w:ascii="Arial" w:hAnsi="Arial" w:cs="Arial"/>
                <w:sz w:val="24"/>
                <w:szCs w:val="24"/>
              </w:rPr>
              <w:t>Контроль за</w:t>
            </w:r>
            <w:proofErr w:type="gramEnd"/>
            <w:r w:rsidRPr="00AE2C6E">
              <w:rPr>
                <w:rFonts w:ascii="Arial" w:hAnsi="Arial" w:cs="Arial"/>
                <w:sz w:val="24"/>
                <w:szCs w:val="24"/>
              </w:rPr>
              <w:t xml:space="preserve"> экспортом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40"/>
        </w:trPr>
        <w:tc>
          <w:tcPr>
            <w:tcW w:w="1289" w:type="pct"/>
            <w:vMerge w:val="restart"/>
          </w:tcPr>
          <w:p w:rsidR="00B952D5" w:rsidRPr="00AE2C6E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Тема 2.3. Организация управления</w:t>
            </w:r>
          </w:p>
          <w:p w:rsidR="00B952D5" w:rsidRPr="00AE2C6E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внешнеэкономической деятельностью предприятия</w:t>
            </w: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E2C6E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9" w:type="pct"/>
            <w:vMerge w:val="restar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163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Изучение внешней и внутренней среды предприятия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154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Планирование и оценка </w:t>
            </w:r>
            <w:proofErr w:type="gramStart"/>
            <w:r w:rsidRPr="00AE2C6E">
              <w:rPr>
                <w:rFonts w:ascii="Arial" w:hAnsi="Arial" w:cs="Arial"/>
                <w:sz w:val="24"/>
                <w:szCs w:val="24"/>
              </w:rPr>
              <w:t>внешнеэкономической</w:t>
            </w:r>
            <w:proofErr w:type="gramEnd"/>
            <w:r w:rsidRPr="00AE2C6E">
              <w:rPr>
                <w:rFonts w:ascii="Arial" w:hAnsi="Arial" w:cs="Arial"/>
                <w:sz w:val="24"/>
                <w:szCs w:val="24"/>
              </w:rPr>
              <w:t xml:space="preserve"> деятельности предприятия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121"/>
        </w:trPr>
        <w:tc>
          <w:tcPr>
            <w:tcW w:w="1289" w:type="pct"/>
            <w:vMerge w:val="restar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Тема 2.4.</w:t>
            </w: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Переговоры с покупателем и заключение международного </w:t>
            </w:r>
            <w:r w:rsidRPr="00AE2C6E">
              <w:rPr>
                <w:rFonts w:ascii="Arial" w:hAnsi="Arial" w:cs="Arial"/>
                <w:sz w:val="24"/>
                <w:szCs w:val="24"/>
              </w:rPr>
              <w:lastRenderedPageBreak/>
              <w:t>контракта</w:t>
            </w: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E2C6E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E2C6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1D0D3C" w:rsidRPr="00AE2C6E" w:rsidTr="00B952D5">
        <w:trPr>
          <w:trHeight w:val="554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Выбор иностранного партнера; Понятие и особенности мировых цен; Формирование контрактной цены; Подготовка и оформление сделок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E2C6E">
              <w:rPr>
                <w:rFonts w:ascii="Arial" w:hAnsi="Arial" w:cs="Arial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9" w:type="pct"/>
            <w:vMerge w:val="restar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Практическое занятие № 2. Выбор страны для экспорта товара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Практическое занятие № 3. Выбор покупателя для экспорта товара</w:t>
            </w:r>
          </w:p>
        </w:tc>
        <w:tc>
          <w:tcPr>
            <w:tcW w:w="299" w:type="pc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Практическое занятие № 4. Составление плана переговоров с покупателем</w:t>
            </w:r>
          </w:p>
        </w:tc>
        <w:tc>
          <w:tcPr>
            <w:tcW w:w="299" w:type="pc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 w:val="restar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Тема 2.5.</w:t>
            </w: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Методики оценки эффективности экспортной деятельности предприятия</w:t>
            </w: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E2C6E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Методологические принципы определения эффективности внешнеторговых операций. 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Система показателей эффекта и эффективности экспортных операций.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E2C6E">
              <w:rPr>
                <w:rFonts w:ascii="Arial" w:hAnsi="Arial" w:cs="Arial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9" w:type="pct"/>
            <w:vMerge w:val="restar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Практическое занятие № 5 Расчет минимально допустимой экспортной цены 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Практическое занятие № 6 Расчет экспортного дохода и экспортной прибыли</w:t>
            </w:r>
          </w:p>
        </w:tc>
        <w:tc>
          <w:tcPr>
            <w:tcW w:w="299" w:type="pc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Практическое занятие № 7 Расчет маржинальной рентабельности экспортного товара</w:t>
            </w:r>
          </w:p>
        </w:tc>
        <w:tc>
          <w:tcPr>
            <w:tcW w:w="299" w:type="pc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Практическое занятие № 8 Расчет суммарного экономического эффекта от экспорта</w:t>
            </w:r>
          </w:p>
        </w:tc>
        <w:tc>
          <w:tcPr>
            <w:tcW w:w="299" w:type="pc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 w:val="restar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Тема 2.6.</w:t>
            </w: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Международная логистика </w:t>
            </w: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E2C6E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E2C6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Особенности международных грузоперевозок различными видами транспорта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Технико-экономические особенности отдельных видов транспорта. 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107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Транспортно-экспедиторские операции с грузами.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107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Особенности организации доставки товаров различными видами транспорта.</w:t>
            </w:r>
          </w:p>
        </w:tc>
        <w:tc>
          <w:tcPr>
            <w:tcW w:w="299" w:type="pc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107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Транспортная внешнеторговая документация</w:t>
            </w:r>
          </w:p>
        </w:tc>
        <w:tc>
          <w:tcPr>
            <w:tcW w:w="299" w:type="pc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E2C6E">
              <w:rPr>
                <w:rFonts w:ascii="Arial" w:hAnsi="Arial" w:cs="Arial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9" w:type="pct"/>
            <w:vMerge w:val="restar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E2C6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Практическое занятие № 9. Выбор транспорта для конкретной международной грузоперевозки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E2C6E">
              <w:rPr>
                <w:rFonts w:ascii="Arial" w:hAnsi="Arial" w:cs="Arial"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299" w:type="pc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E2C6E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1D0D3C" w:rsidRPr="00AE2C6E" w:rsidTr="00B952D5">
        <w:trPr>
          <w:trHeight w:val="20"/>
        </w:trPr>
        <w:tc>
          <w:tcPr>
            <w:tcW w:w="1289" w:type="pct"/>
            <w:vMerge w:val="restar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Тема 2.7.</w:t>
            </w: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Валютно-финансовые и платежные условия экспортных сделок</w:t>
            </w: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E2C6E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99" w:type="pct"/>
            <w:vMerge w:val="restar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E2C6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</w:tr>
      <w:tr w:rsidR="001D0D3C" w:rsidRPr="00AE2C6E" w:rsidTr="00B952D5">
        <w:trPr>
          <w:trHeight w:val="493"/>
        </w:trPr>
        <w:tc>
          <w:tcPr>
            <w:tcW w:w="1289" w:type="pct"/>
            <w:vMerge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2" w:type="pc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Валюта цены и валюта платежа; Условия платежа; Формы международных расчетов.</w:t>
            </w:r>
          </w:p>
          <w:p w:rsidR="00B952D5" w:rsidRPr="00AE2C6E" w:rsidRDefault="00B952D5" w:rsidP="00B952D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Банковские гарантии; Основы валютного регулирования и валютного контроля в РФ</w:t>
            </w:r>
          </w:p>
        </w:tc>
        <w:tc>
          <w:tcPr>
            <w:tcW w:w="299" w:type="pct"/>
            <w:vMerge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20"/>
        </w:trPr>
        <w:tc>
          <w:tcPr>
            <w:tcW w:w="4701" w:type="pct"/>
            <w:gridSpan w:val="2"/>
          </w:tcPr>
          <w:p w:rsidR="00B952D5" w:rsidRPr="00AE2C6E" w:rsidRDefault="00B952D5" w:rsidP="00B95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E2C6E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AE2C6E">
              <w:rPr>
                <w:rFonts w:ascii="Arial" w:hAnsi="Arial" w:cs="Arial"/>
                <w:sz w:val="24"/>
                <w:szCs w:val="24"/>
              </w:rPr>
              <w:t xml:space="preserve"> аттестация </w:t>
            </w:r>
            <w:r w:rsidRPr="00AE2C6E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299" w:type="pc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0D3C" w:rsidRPr="00AE2C6E" w:rsidTr="00B952D5">
        <w:trPr>
          <w:trHeight w:val="315"/>
        </w:trPr>
        <w:tc>
          <w:tcPr>
            <w:tcW w:w="4701" w:type="pct"/>
            <w:gridSpan w:val="2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299" w:type="pc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AE2C6E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AE2C6E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AE2C6E" w:rsidRDefault="00095A42" w:rsidP="00680743">
      <w:pPr>
        <w:rPr>
          <w:rFonts w:ascii="Arial" w:hAnsi="Arial" w:cs="Arial"/>
          <w:sz w:val="24"/>
          <w:szCs w:val="24"/>
        </w:rPr>
        <w:sectPr w:rsidR="00095A42" w:rsidRPr="00AE2C6E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AE2C6E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E2C6E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AE2C6E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AE2C6E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AE2C6E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AE2C6E" w:rsidRPr="00AE2C6E" w:rsidRDefault="0006048C" w:rsidP="00AE2C6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AE2C6E">
        <w:rPr>
          <w:rFonts w:ascii="Arial" w:hAnsi="Arial" w:cs="Arial"/>
          <w:sz w:val="24"/>
          <w:szCs w:val="24"/>
        </w:rPr>
        <w:t>Для реализац</w:t>
      </w:r>
      <w:r w:rsidR="00963EBB" w:rsidRPr="00AE2C6E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AE2C6E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AE2C6E">
        <w:rPr>
          <w:rFonts w:ascii="Arial" w:hAnsi="Arial" w:cs="Arial"/>
          <w:sz w:val="24"/>
          <w:szCs w:val="24"/>
        </w:rPr>
        <w:t xml:space="preserve"> </w:t>
      </w:r>
      <w:r w:rsidR="00AE2C6E" w:rsidRPr="00AE2C6E">
        <w:rPr>
          <w:rFonts w:ascii="Arial" w:hAnsi="Arial" w:cs="Arial"/>
          <w:b/>
          <w:sz w:val="24"/>
          <w:szCs w:val="24"/>
        </w:rPr>
        <w:t>к</w:t>
      </w:r>
      <w:r w:rsidRPr="00AE2C6E">
        <w:rPr>
          <w:rFonts w:ascii="Arial" w:hAnsi="Arial" w:cs="Arial"/>
          <w:b/>
          <w:sz w:val="24"/>
          <w:szCs w:val="24"/>
        </w:rPr>
        <w:t>абинет «</w:t>
      </w:r>
      <w:r w:rsidR="009623A9" w:rsidRPr="00AE2C6E">
        <w:rPr>
          <w:rFonts w:ascii="Arial" w:hAnsi="Arial" w:cs="Arial"/>
          <w:b/>
          <w:sz w:val="24"/>
          <w:szCs w:val="24"/>
        </w:rPr>
        <w:t>С</w:t>
      </w:r>
      <w:r w:rsidR="00B952D5" w:rsidRPr="00AE2C6E">
        <w:rPr>
          <w:rFonts w:ascii="Arial" w:hAnsi="Arial" w:cs="Arial"/>
          <w:b/>
          <w:sz w:val="24"/>
          <w:szCs w:val="24"/>
        </w:rPr>
        <w:t>оциально-экономических дисциплин</w:t>
      </w:r>
      <w:r w:rsidRPr="00AE2C6E">
        <w:rPr>
          <w:rFonts w:ascii="Arial" w:hAnsi="Arial" w:cs="Arial"/>
          <w:b/>
          <w:sz w:val="24"/>
          <w:szCs w:val="24"/>
        </w:rPr>
        <w:t>»,</w:t>
      </w:r>
      <w:r w:rsidRPr="00AE2C6E">
        <w:rPr>
          <w:rFonts w:ascii="Arial" w:hAnsi="Arial" w:cs="Arial"/>
          <w:sz w:val="24"/>
          <w:szCs w:val="24"/>
        </w:rPr>
        <w:t xml:space="preserve"> 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r w:rsidR="00AE2C6E" w:rsidRPr="00AE2C6E">
        <w:rPr>
          <w:rFonts w:ascii="Arial" w:hAnsi="Arial" w:cs="Arial"/>
          <w:b/>
          <w:sz w:val="24"/>
          <w:szCs w:val="24"/>
        </w:rPr>
        <w:t xml:space="preserve"> </w:t>
      </w:r>
      <w:proofErr w:type="gramEnd"/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AE2C6E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AE2C6E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AE2C6E">
        <w:rPr>
          <w:rFonts w:ascii="Arial" w:hAnsi="Arial" w:cs="Arial"/>
          <w:sz w:val="24"/>
          <w:szCs w:val="24"/>
        </w:rPr>
        <w:t>обучающихся</w:t>
      </w:r>
      <w:proofErr w:type="gramEnd"/>
      <w:r w:rsidRPr="00AE2C6E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AE2C6E">
        <w:rPr>
          <w:rFonts w:ascii="Arial" w:hAnsi="Arial" w:cs="Arial"/>
          <w:sz w:val="24"/>
          <w:szCs w:val="24"/>
        </w:rPr>
        <w:t>компл</w:t>
      </w:r>
      <w:proofErr w:type="spellEnd"/>
      <w:r w:rsidRPr="00AE2C6E">
        <w:rPr>
          <w:rFonts w:ascii="Arial" w:hAnsi="Arial" w:cs="Arial"/>
          <w:sz w:val="24"/>
          <w:szCs w:val="24"/>
        </w:rPr>
        <w:t>.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AE2C6E">
        <w:rPr>
          <w:rFonts w:ascii="Arial" w:hAnsi="Arial" w:cs="Arial"/>
          <w:sz w:val="24"/>
          <w:szCs w:val="24"/>
        </w:rPr>
        <w:t xml:space="preserve">рабочее место </w:t>
      </w:r>
      <w:r w:rsidRPr="00AE2C6E">
        <w:rPr>
          <w:rFonts w:ascii="Arial" w:hAnsi="Arial" w:cs="Arial"/>
          <w:iCs/>
          <w:sz w:val="24"/>
          <w:szCs w:val="24"/>
        </w:rPr>
        <w:t>для</w:t>
      </w:r>
      <w:r w:rsidRPr="00AE2C6E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AE2C6E">
        <w:rPr>
          <w:rFonts w:ascii="Arial" w:hAnsi="Arial" w:cs="Arial"/>
          <w:sz w:val="24"/>
          <w:szCs w:val="24"/>
        </w:rPr>
        <w:t>компл</w:t>
      </w:r>
      <w:proofErr w:type="spellEnd"/>
      <w:r w:rsidRPr="00AE2C6E">
        <w:rPr>
          <w:rFonts w:ascii="Arial" w:hAnsi="Arial" w:cs="Arial"/>
          <w:sz w:val="24"/>
          <w:szCs w:val="24"/>
        </w:rPr>
        <w:t xml:space="preserve">.; 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AE2C6E">
        <w:rPr>
          <w:rFonts w:ascii="Arial" w:hAnsi="Arial" w:cs="Arial"/>
          <w:sz w:val="24"/>
          <w:szCs w:val="24"/>
        </w:rPr>
        <w:t>доска – 1 шт.;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AE2C6E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E2C6E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AE2C6E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bCs/>
          <w:sz w:val="24"/>
          <w:szCs w:val="24"/>
          <w:lang w:eastAsia="x-none"/>
        </w:rPr>
        <w:t>-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AE2C6E">
        <w:rPr>
          <w:rFonts w:ascii="Arial" w:hAnsi="Arial" w:cs="Arial"/>
          <w:sz w:val="24"/>
          <w:szCs w:val="24"/>
        </w:rPr>
        <w:t xml:space="preserve">пакет программ </w:t>
      </w:r>
      <w:r w:rsidRPr="00AE2C6E">
        <w:rPr>
          <w:rFonts w:ascii="Arial" w:hAnsi="Arial" w:cs="Arial"/>
          <w:sz w:val="24"/>
          <w:szCs w:val="24"/>
          <w:lang w:val="en-US"/>
        </w:rPr>
        <w:t>Microsoft</w:t>
      </w:r>
      <w:r w:rsidRPr="00AE2C6E">
        <w:rPr>
          <w:rFonts w:ascii="Arial" w:hAnsi="Arial" w:cs="Arial"/>
          <w:sz w:val="24"/>
          <w:szCs w:val="24"/>
        </w:rPr>
        <w:t xml:space="preserve"> </w:t>
      </w:r>
      <w:r w:rsidRPr="00AE2C6E">
        <w:rPr>
          <w:rFonts w:ascii="Arial" w:hAnsi="Arial" w:cs="Arial"/>
          <w:sz w:val="24"/>
          <w:szCs w:val="24"/>
          <w:lang w:val="en-US"/>
        </w:rPr>
        <w:t>Office</w:t>
      </w:r>
      <w:r w:rsidRPr="00AE2C6E">
        <w:rPr>
          <w:rFonts w:ascii="Arial" w:hAnsi="Arial" w:cs="Arial"/>
          <w:sz w:val="24"/>
          <w:szCs w:val="24"/>
        </w:rPr>
        <w:t xml:space="preserve">, </w:t>
      </w:r>
      <w:r w:rsidRPr="00AE2C6E">
        <w:rPr>
          <w:rFonts w:ascii="Arial" w:hAnsi="Arial" w:cs="Arial"/>
          <w:sz w:val="24"/>
          <w:szCs w:val="24"/>
          <w:lang w:val="en-US"/>
        </w:rPr>
        <w:t>Microsoft</w:t>
      </w:r>
      <w:r w:rsidRPr="00AE2C6E">
        <w:rPr>
          <w:rFonts w:ascii="Arial" w:hAnsi="Arial" w:cs="Arial"/>
          <w:sz w:val="24"/>
          <w:szCs w:val="24"/>
        </w:rPr>
        <w:t xml:space="preserve"> </w:t>
      </w:r>
      <w:r w:rsidRPr="00AE2C6E">
        <w:rPr>
          <w:rFonts w:ascii="Arial" w:hAnsi="Arial" w:cs="Arial"/>
          <w:sz w:val="24"/>
          <w:szCs w:val="24"/>
          <w:lang w:val="en-US"/>
        </w:rPr>
        <w:t>Windows</w:t>
      </w:r>
      <w:r w:rsidRPr="00AE2C6E">
        <w:rPr>
          <w:rFonts w:ascii="Arial" w:hAnsi="Arial" w:cs="Arial"/>
          <w:sz w:val="24"/>
          <w:szCs w:val="24"/>
        </w:rPr>
        <w:t>;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E2C6E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E2C6E">
        <w:rPr>
          <w:rFonts w:ascii="Arial" w:hAnsi="Arial" w:cs="Arial"/>
          <w:b/>
          <w:sz w:val="24"/>
          <w:szCs w:val="24"/>
        </w:rPr>
        <w:t>Технические средства: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-</w:t>
      </w:r>
      <w:r w:rsidRPr="00AE2C6E">
        <w:rPr>
          <w:rFonts w:ascii="Arial" w:hAnsi="Arial" w:cs="Arial"/>
          <w:b/>
          <w:sz w:val="24"/>
          <w:szCs w:val="24"/>
        </w:rPr>
        <w:t xml:space="preserve"> </w:t>
      </w:r>
      <w:r w:rsidRPr="00AE2C6E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AE2C6E">
        <w:rPr>
          <w:rFonts w:ascii="Arial" w:hAnsi="Arial" w:cs="Arial"/>
          <w:sz w:val="24"/>
          <w:szCs w:val="24"/>
        </w:rPr>
        <w:t xml:space="preserve"> – 1 шт.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- интерактивная доска – 1 шт.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- колонки – 2 шт.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клавиатура-1 шт.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AE2C6E">
        <w:rPr>
          <w:rFonts w:ascii="Arial" w:hAnsi="Arial" w:cs="Arial"/>
          <w:sz w:val="24"/>
          <w:szCs w:val="24"/>
        </w:rPr>
        <w:t xml:space="preserve"> 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E2C6E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E2C6E">
        <w:rPr>
          <w:rFonts w:ascii="Arial" w:hAnsi="Arial" w:cs="Arial"/>
          <w:b/>
          <w:bCs/>
          <w:sz w:val="24"/>
          <w:szCs w:val="24"/>
        </w:rPr>
        <w:t>-</w:t>
      </w:r>
      <w:r w:rsidRPr="00AE2C6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E2C6E">
        <w:rPr>
          <w:rFonts w:ascii="Arial" w:hAnsi="Arial" w:cs="Arial"/>
          <w:sz w:val="24"/>
          <w:szCs w:val="24"/>
        </w:rPr>
        <w:t>к</w:t>
      </w:r>
      <w:proofErr w:type="gramEnd"/>
      <w:r w:rsidRPr="00AE2C6E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:rsidR="00AE2C6E" w:rsidRPr="00AE2C6E" w:rsidRDefault="00AE2C6E" w:rsidP="00AE2C6E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E2C6E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E2C6E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AE2C6E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E2C6E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AE2C6E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E2C6E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AE2C6E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E2C6E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AE2C6E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E2C6E">
        <w:rPr>
          <w:rFonts w:ascii="Arial" w:hAnsi="Arial" w:cs="Arial"/>
          <w:b/>
          <w:bCs/>
          <w:sz w:val="24"/>
          <w:szCs w:val="24"/>
        </w:rPr>
        <w:t>6. Основная литература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:rsid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E2C6E">
        <w:rPr>
          <w:rFonts w:ascii="Arial" w:hAnsi="Arial" w:cs="Arial"/>
          <w:bCs/>
          <w:sz w:val="24"/>
          <w:szCs w:val="24"/>
        </w:rPr>
        <w:t>1.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Pr="00AE2C6E">
        <w:rPr>
          <w:rFonts w:ascii="Arial" w:hAnsi="Arial" w:cs="Arial"/>
          <w:sz w:val="24"/>
          <w:szCs w:val="24"/>
        </w:rPr>
        <w:t>Федеральный закон от 8 декабря 2003 г. № 164-ФЗ «Об основах государственного регулирования внешнеторговой деятельности в РФ» (в ред. от 13.07.2015)// СПС «</w:t>
      </w:r>
      <w:proofErr w:type="spellStart"/>
      <w:r w:rsidRPr="00AE2C6E">
        <w:rPr>
          <w:rFonts w:ascii="Arial" w:hAnsi="Arial" w:cs="Arial"/>
          <w:sz w:val="24"/>
          <w:szCs w:val="24"/>
        </w:rPr>
        <w:t>КонсультантПлюс</w:t>
      </w:r>
      <w:proofErr w:type="spellEnd"/>
      <w:r w:rsidRPr="00AE2C6E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.</w:t>
      </w:r>
      <w:proofErr w:type="gramEnd"/>
    </w:p>
    <w:p w:rsid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AE2C6E">
        <w:rPr>
          <w:rFonts w:ascii="Arial" w:hAnsi="Arial" w:cs="Arial"/>
          <w:sz w:val="24"/>
          <w:szCs w:val="24"/>
        </w:rPr>
        <w:t>Инструкция Банка России от 16.08.2017 N 181-И (ред. от 05.07.2018)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N 48749)// Справочно-правовая система «</w:t>
      </w:r>
      <w:proofErr w:type="spellStart"/>
      <w:r w:rsidRPr="00AE2C6E">
        <w:rPr>
          <w:rFonts w:ascii="Arial" w:hAnsi="Arial" w:cs="Arial"/>
          <w:sz w:val="24"/>
          <w:szCs w:val="24"/>
        </w:rPr>
        <w:t>КонсультантПлюс</w:t>
      </w:r>
      <w:proofErr w:type="spellEnd"/>
      <w:r w:rsidRPr="00AE2C6E">
        <w:rPr>
          <w:rFonts w:ascii="Arial" w:hAnsi="Arial" w:cs="Arial"/>
          <w:sz w:val="24"/>
          <w:szCs w:val="24"/>
        </w:rPr>
        <w:t>».</w:t>
      </w:r>
      <w:r w:rsidRPr="00AE2C6E">
        <w:rPr>
          <w:rFonts w:ascii="Arial" w:hAnsi="Arial" w:cs="Arial"/>
          <w:sz w:val="24"/>
          <w:szCs w:val="24"/>
        </w:rPr>
        <w:t xml:space="preserve"> 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AE2C6E">
        <w:rPr>
          <w:rFonts w:ascii="Arial" w:hAnsi="Arial" w:cs="Arial"/>
          <w:sz w:val="24"/>
          <w:szCs w:val="24"/>
        </w:rPr>
        <w:t xml:space="preserve">Учебное пособие для начинающих экспортеров </w:t>
      </w:r>
      <w:bookmarkStart w:id="6" w:name="_Hlk75456268"/>
      <w:r w:rsidRPr="00AE2C6E">
        <w:rPr>
          <w:rFonts w:ascii="Arial" w:hAnsi="Arial" w:cs="Arial"/>
          <w:sz w:val="24"/>
          <w:szCs w:val="24"/>
        </w:rPr>
        <w:t xml:space="preserve">[Электронный ресурс]: </w:t>
      </w:r>
      <w:bookmarkEnd w:id="6"/>
      <w:r w:rsidRPr="00AE2C6E">
        <w:rPr>
          <w:rFonts w:ascii="Arial" w:hAnsi="Arial" w:cs="Arial"/>
          <w:sz w:val="24"/>
          <w:szCs w:val="24"/>
        </w:rPr>
        <w:t xml:space="preserve">Школа экспорта АО «Российский экспортный центр», 2016. – URL: </w:t>
      </w:r>
      <w:hyperlink r:id="rId14" w:history="1">
        <w:r w:rsidRPr="00AE2C6E">
          <w:rPr>
            <w:rStyle w:val="ae"/>
            <w:rFonts w:ascii="Arial" w:hAnsi="Arial" w:cs="Arial"/>
            <w:color w:val="auto"/>
            <w:sz w:val="24"/>
            <w:szCs w:val="24"/>
          </w:rPr>
          <w:t>www.exportedu.ru</w:t>
        </w:r>
      </w:hyperlink>
    </w:p>
    <w:p w:rsid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E2C6E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:rsid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bCs/>
          <w:sz w:val="24"/>
          <w:szCs w:val="24"/>
        </w:rPr>
        <w:t xml:space="preserve">1. </w:t>
      </w:r>
      <w:proofErr w:type="spellStart"/>
      <w:r w:rsidRPr="00AE2C6E">
        <w:rPr>
          <w:rFonts w:ascii="Arial" w:hAnsi="Arial" w:cs="Arial"/>
          <w:sz w:val="24"/>
          <w:szCs w:val="24"/>
        </w:rPr>
        <w:t>Радион</w:t>
      </w:r>
      <w:proofErr w:type="spellEnd"/>
      <w:r w:rsidRPr="00AE2C6E">
        <w:rPr>
          <w:rFonts w:ascii="Arial" w:hAnsi="Arial" w:cs="Arial"/>
          <w:sz w:val="24"/>
          <w:szCs w:val="24"/>
        </w:rPr>
        <w:t xml:space="preserve"> М.А., Погодаева Т.В. Международные контракты и организация внешнеэкономических операций: учебное пособие. Тюмень: Издательство Тюменского государственного университета, 2016. – 292 с.</w:t>
      </w:r>
      <w:r w:rsidRPr="00AE2C6E">
        <w:rPr>
          <w:rFonts w:ascii="Arial" w:hAnsi="Arial" w:cs="Arial"/>
          <w:sz w:val="24"/>
          <w:szCs w:val="24"/>
        </w:rPr>
        <w:t xml:space="preserve"> </w:t>
      </w:r>
    </w:p>
    <w:p w:rsidR="00AE2C6E" w:rsidRPr="00AE2C6E" w:rsidRDefault="00AE2C6E" w:rsidP="00AE2C6E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2. </w:t>
      </w:r>
      <w:proofErr w:type="spellStart"/>
      <w:r w:rsidRPr="00AE2C6E">
        <w:rPr>
          <w:rFonts w:ascii="Arial" w:hAnsi="Arial" w:cs="Arial"/>
          <w:sz w:val="24"/>
          <w:szCs w:val="24"/>
        </w:rPr>
        <w:t>Стровский</w:t>
      </w:r>
      <w:proofErr w:type="spellEnd"/>
      <w:r w:rsidRPr="00AE2C6E">
        <w:rPr>
          <w:rFonts w:ascii="Arial" w:hAnsi="Arial" w:cs="Arial"/>
          <w:sz w:val="24"/>
          <w:szCs w:val="24"/>
        </w:rPr>
        <w:t xml:space="preserve"> Л.Е.  Внешнеэкономическая деятельность предприятия: учебник/ под ред. Л.Е. </w:t>
      </w:r>
      <w:proofErr w:type="spellStart"/>
      <w:r w:rsidRPr="00AE2C6E">
        <w:rPr>
          <w:rFonts w:ascii="Arial" w:hAnsi="Arial" w:cs="Arial"/>
          <w:sz w:val="24"/>
          <w:szCs w:val="24"/>
        </w:rPr>
        <w:t>Стровского</w:t>
      </w:r>
      <w:proofErr w:type="spellEnd"/>
      <w:r w:rsidRPr="00AE2C6E">
        <w:rPr>
          <w:rFonts w:ascii="Arial" w:hAnsi="Arial" w:cs="Arial"/>
          <w:sz w:val="24"/>
          <w:szCs w:val="24"/>
        </w:rPr>
        <w:t xml:space="preserve">. – 5-е изд., </w:t>
      </w:r>
      <w:proofErr w:type="spellStart"/>
      <w:r w:rsidRPr="00AE2C6E">
        <w:rPr>
          <w:rFonts w:ascii="Arial" w:hAnsi="Arial" w:cs="Arial"/>
          <w:sz w:val="24"/>
          <w:szCs w:val="24"/>
        </w:rPr>
        <w:t>перераб</w:t>
      </w:r>
      <w:proofErr w:type="spellEnd"/>
      <w:r w:rsidRPr="00AE2C6E">
        <w:rPr>
          <w:rFonts w:ascii="Arial" w:hAnsi="Arial" w:cs="Arial"/>
          <w:sz w:val="24"/>
          <w:szCs w:val="24"/>
        </w:rPr>
        <w:t xml:space="preserve">. и доп. – М.: ЮНИТИ-ДАНА, 2017. – 478 </w:t>
      </w:r>
      <w:proofErr w:type="gramStart"/>
      <w:r w:rsidRPr="00AE2C6E">
        <w:rPr>
          <w:rFonts w:ascii="Arial" w:hAnsi="Arial" w:cs="Arial"/>
          <w:sz w:val="24"/>
          <w:szCs w:val="24"/>
        </w:rPr>
        <w:t>с</w:t>
      </w:r>
      <w:proofErr w:type="gramEnd"/>
    </w:p>
    <w:p w:rsidR="00AE2C6E" w:rsidRDefault="00AE2C6E" w:rsidP="00AE2C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2C6E">
        <w:rPr>
          <w:rFonts w:ascii="Arial" w:hAnsi="Arial" w:cs="Arial"/>
          <w:b/>
          <w:bCs/>
          <w:sz w:val="24"/>
          <w:szCs w:val="24"/>
        </w:rPr>
        <w:t>8. Интернет-ресурсы</w:t>
      </w:r>
      <w:r>
        <w:rPr>
          <w:rFonts w:ascii="Arial" w:hAnsi="Arial" w:cs="Arial"/>
          <w:sz w:val="24"/>
          <w:szCs w:val="24"/>
        </w:rPr>
        <w:t xml:space="preserve">: </w:t>
      </w:r>
    </w:p>
    <w:p w:rsidR="00AE2C6E" w:rsidRDefault="00AE2C6E" w:rsidP="00AE2C6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AE2C6E">
        <w:rPr>
          <w:rFonts w:ascii="Arial" w:hAnsi="Arial" w:cs="Arial"/>
          <w:sz w:val="24"/>
          <w:szCs w:val="24"/>
        </w:rPr>
        <w:t>Официальный сайт ЕАЭС [Электронный ресурс]: URL</w:t>
      </w:r>
      <w:r w:rsidRPr="00AE2C6E">
        <w:rPr>
          <w:rFonts w:ascii="Arial" w:hAnsi="Arial" w:cs="Arial"/>
          <w:bCs/>
          <w:sz w:val="24"/>
          <w:szCs w:val="24"/>
        </w:rPr>
        <w:t xml:space="preserve"> /</w:t>
      </w:r>
      <w:r w:rsidRPr="00AE2C6E">
        <w:rPr>
          <w:rFonts w:ascii="Arial" w:hAnsi="Arial" w:cs="Arial"/>
          <w:sz w:val="24"/>
          <w:szCs w:val="24"/>
        </w:rPr>
        <w:t xml:space="preserve">/ </w:t>
      </w:r>
      <w:hyperlink r:id="rId15" w:history="1">
        <w:r w:rsidRPr="00AE2C6E">
          <w:rPr>
            <w:rStyle w:val="ae"/>
            <w:rFonts w:ascii="Arial" w:hAnsi="Arial" w:cs="Arial"/>
            <w:color w:val="auto"/>
            <w:sz w:val="24"/>
            <w:szCs w:val="24"/>
          </w:rPr>
          <w:t>http://www.eaeunion.org.</w:t>
        </w:r>
        <w:proofErr w:type="spellStart"/>
        <w:r w:rsidRPr="00AE2C6E">
          <w:rPr>
            <w:rStyle w:val="ae"/>
            <w:rFonts w:ascii="Arial" w:hAnsi="Arial" w:cs="Arial"/>
            <w:color w:val="auto"/>
            <w:sz w:val="24"/>
            <w:szCs w:val="24"/>
            <w:lang w:val="en-US"/>
          </w:rPr>
          <w:t>ru</w:t>
        </w:r>
        <w:proofErr w:type="spellEnd"/>
      </w:hyperlink>
    </w:p>
    <w:p w:rsidR="00B30397" w:rsidRPr="00AE2C6E" w:rsidRDefault="00B30397" w:rsidP="0006048C">
      <w:pPr>
        <w:spacing w:after="0" w:line="240" w:lineRule="auto"/>
        <w:ind w:left="449" w:right="-20" w:firstLine="211"/>
        <w:rPr>
          <w:rFonts w:ascii="Arial" w:hAnsi="Arial" w:cs="Arial"/>
          <w:sz w:val="24"/>
          <w:szCs w:val="24"/>
        </w:rPr>
      </w:pPr>
    </w:p>
    <w:p w:rsidR="00B952D5" w:rsidRPr="00AE2C6E" w:rsidRDefault="00B952D5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B952D5" w:rsidRPr="00AE2C6E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AE2C6E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E2C6E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7"/>
        <w:gridCol w:w="3772"/>
        <w:gridCol w:w="2895"/>
      </w:tblGrid>
      <w:tr w:rsidR="001D0D3C" w:rsidRPr="00AE2C6E" w:rsidTr="00B95043">
        <w:trPr>
          <w:tblHeader/>
        </w:trPr>
        <w:tc>
          <w:tcPr>
            <w:tcW w:w="1617" w:type="pc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914" w:type="pc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469" w:type="pct"/>
          </w:tcPr>
          <w:p w:rsidR="00B952D5" w:rsidRPr="00AE2C6E" w:rsidRDefault="00B952D5" w:rsidP="00B952D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1D0D3C" w:rsidRPr="00AE2C6E" w:rsidTr="00B95043">
        <w:tc>
          <w:tcPr>
            <w:tcW w:w="1617" w:type="pc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Знания:       </w:t>
            </w:r>
          </w:p>
          <w:p w:rsidR="00B952D5" w:rsidRPr="00AE2C6E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AE2C6E">
              <w:rPr>
                <w:rFonts w:ascii="Arial" w:hAnsi="Arial" w:cs="Arial"/>
                <w:sz w:val="24"/>
                <w:szCs w:val="24"/>
              </w:rPr>
              <w:t>методы регулирования международных торгово-экономических отношений, международного ценообразования</w:t>
            </w:r>
          </w:p>
          <w:p w:rsidR="00B952D5" w:rsidRPr="00AE2C6E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- организацию ВЭД предприятий различных форм собственности, в особенности, торговых фирм</w:t>
            </w:r>
          </w:p>
          <w:p w:rsidR="00B952D5" w:rsidRPr="00AE2C6E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- иметь представление об инструментах государственного регулирования ВЭД, платежно-расчетных отношений</w:t>
            </w:r>
          </w:p>
          <w:p w:rsidR="00B952D5" w:rsidRPr="00AE2C6E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 по    внешнеэкономическим операциям.</w:t>
            </w:r>
          </w:p>
          <w:p w:rsidR="00B952D5" w:rsidRPr="00AE2C6E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 -  методы сбора и обработки коммерческой информации для проведения исследований и оценки перспектив зарубежных рынков</w:t>
            </w:r>
          </w:p>
        </w:tc>
        <w:tc>
          <w:tcPr>
            <w:tcW w:w="1914" w:type="pct"/>
          </w:tcPr>
          <w:p w:rsidR="00B952D5" w:rsidRPr="00AE2C6E" w:rsidRDefault="00B952D5" w:rsidP="00B952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Демонстрирует понимание:</w:t>
            </w:r>
          </w:p>
          <w:p w:rsidR="00B952D5" w:rsidRPr="00AE2C6E" w:rsidRDefault="00B952D5" w:rsidP="00B952D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AE2C6E">
              <w:rPr>
                <w:rFonts w:ascii="Arial" w:hAnsi="Arial" w:cs="Arial"/>
                <w:sz w:val="24"/>
                <w:szCs w:val="24"/>
              </w:rPr>
              <w:t>методов регулирования международных торгово-экономических отношений, международного ценообразования</w:t>
            </w:r>
          </w:p>
          <w:p w:rsidR="00B952D5" w:rsidRPr="00AE2C6E" w:rsidRDefault="00B952D5" w:rsidP="00B952D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- организации ВЭД предприятий различных форм собственности, в особенности, торговых фирм</w:t>
            </w:r>
          </w:p>
          <w:p w:rsidR="00B952D5" w:rsidRPr="00AE2C6E" w:rsidRDefault="00B952D5" w:rsidP="00B952D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- имеет представление об инструментах государственного регулирования ВЭД, платежно-расчетных отношений по    внешнеэкономическим операциям.</w:t>
            </w:r>
          </w:p>
          <w:p w:rsidR="00B952D5" w:rsidRPr="00AE2C6E" w:rsidRDefault="00B952D5" w:rsidP="00B952D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 - имеет представление </w:t>
            </w:r>
            <w:proofErr w:type="gramStart"/>
            <w:r w:rsidRPr="00AE2C6E">
              <w:rPr>
                <w:rFonts w:ascii="Arial" w:hAnsi="Arial" w:cs="Arial"/>
                <w:sz w:val="24"/>
                <w:szCs w:val="24"/>
              </w:rPr>
              <w:t>об</w:t>
            </w:r>
            <w:proofErr w:type="gramEnd"/>
            <w:r w:rsidRPr="00AE2C6E">
              <w:rPr>
                <w:rFonts w:ascii="Arial" w:hAnsi="Arial" w:cs="Arial"/>
                <w:sz w:val="24"/>
                <w:szCs w:val="24"/>
              </w:rPr>
              <w:t xml:space="preserve"> методах сбора и обработки коммерческой информации для проведения исследований и оценки перспектив зарубежных рынков</w:t>
            </w:r>
          </w:p>
          <w:p w:rsidR="00B952D5" w:rsidRPr="00AE2C6E" w:rsidRDefault="00B952D5" w:rsidP="00B952D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9" w:type="pc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Оценка результатов тестирования/ устного опроса/ других форм по темам</w:t>
            </w: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AE2C6E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Предусмотренная форма: Д</w:t>
            </w:r>
            <w:r w:rsidRPr="00AE2C6E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 xml:space="preserve">ругие формы контроля (аттестация по результатам семестра на </w:t>
            </w:r>
            <w:proofErr w:type="gramStart"/>
            <w:r w:rsidRPr="00AE2C6E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основании</w:t>
            </w:r>
            <w:proofErr w:type="gramEnd"/>
            <w:r w:rsidRPr="00AE2C6E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 xml:space="preserve"> полученных оценок)</w:t>
            </w:r>
          </w:p>
        </w:tc>
      </w:tr>
      <w:tr w:rsidR="001D0D3C" w:rsidRPr="00AE2C6E" w:rsidTr="00B95043">
        <w:tc>
          <w:tcPr>
            <w:tcW w:w="1617" w:type="pct"/>
          </w:tcPr>
          <w:p w:rsidR="00B952D5" w:rsidRPr="00AE2C6E" w:rsidRDefault="00B952D5" w:rsidP="00B952D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B952D5" w:rsidRPr="00AE2C6E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AE2C6E">
              <w:rPr>
                <w:rFonts w:ascii="Arial" w:hAnsi="Arial" w:cs="Arial"/>
                <w:sz w:val="24"/>
                <w:szCs w:val="24"/>
              </w:rPr>
              <w:t>рассчитывать показатели эффективности экспортной деятельности предприятия</w:t>
            </w:r>
          </w:p>
          <w:p w:rsidR="00B952D5" w:rsidRPr="00AE2C6E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 - прогнозировать и осуществлять выбор направлений работы на внешних </w:t>
            </w:r>
            <w:proofErr w:type="gramStart"/>
            <w:r w:rsidRPr="00AE2C6E">
              <w:rPr>
                <w:rFonts w:ascii="Arial" w:hAnsi="Arial" w:cs="Arial"/>
                <w:sz w:val="24"/>
                <w:szCs w:val="24"/>
              </w:rPr>
              <w:t>рынках</w:t>
            </w:r>
            <w:proofErr w:type="gramEnd"/>
            <w:r w:rsidRPr="00AE2C6E">
              <w:rPr>
                <w:rFonts w:ascii="Arial" w:hAnsi="Arial" w:cs="Arial"/>
                <w:sz w:val="24"/>
                <w:szCs w:val="24"/>
              </w:rPr>
              <w:t>, ориентироваться на получение оптимального эффекта</w:t>
            </w:r>
          </w:p>
          <w:p w:rsidR="00B952D5" w:rsidRPr="00AE2C6E" w:rsidRDefault="00B952D5" w:rsidP="00AE2C6E">
            <w:pPr>
              <w:shd w:val="clear" w:color="auto" w:fill="FFFFFF"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AE2C6E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AE2C6E">
              <w:rPr>
                <w:rFonts w:ascii="Arial" w:hAnsi="Arial" w:cs="Arial"/>
                <w:sz w:val="24"/>
                <w:szCs w:val="24"/>
              </w:rPr>
              <w:t>вырабатывать практические навыки для реализации действий экспортера и импортера в конкретных ситуациях</w:t>
            </w:r>
          </w:p>
        </w:tc>
        <w:tc>
          <w:tcPr>
            <w:tcW w:w="1914" w:type="pct"/>
          </w:tcPr>
          <w:p w:rsidR="00B952D5" w:rsidRPr="00AE2C6E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AE2C6E">
              <w:rPr>
                <w:rFonts w:ascii="Arial" w:hAnsi="Arial" w:cs="Arial"/>
                <w:sz w:val="24"/>
                <w:szCs w:val="24"/>
              </w:rPr>
              <w:t>рассчитывает показатели эффективности экспортной деятельности предприятия</w:t>
            </w:r>
          </w:p>
          <w:p w:rsidR="00B952D5" w:rsidRPr="00AE2C6E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 - прогнозирует и осуществляет выбор направлений работы на внешних </w:t>
            </w:r>
            <w:proofErr w:type="gramStart"/>
            <w:r w:rsidRPr="00AE2C6E">
              <w:rPr>
                <w:rFonts w:ascii="Arial" w:hAnsi="Arial" w:cs="Arial"/>
                <w:sz w:val="24"/>
                <w:szCs w:val="24"/>
              </w:rPr>
              <w:t>рынках</w:t>
            </w:r>
            <w:proofErr w:type="gramEnd"/>
            <w:r w:rsidRPr="00AE2C6E">
              <w:rPr>
                <w:rFonts w:ascii="Arial" w:hAnsi="Arial" w:cs="Arial"/>
                <w:sz w:val="24"/>
                <w:szCs w:val="24"/>
              </w:rPr>
              <w:t>, ориентируется на получение оптимального эффекта</w:t>
            </w:r>
          </w:p>
          <w:p w:rsidR="00B952D5" w:rsidRPr="00AE2C6E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AE2C6E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AE2C6E">
              <w:rPr>
                <w:rFonts w:ascii="Arial" w:hAnsi="Arial" w:cs="Arial"/>
                <w:sz w:val="24"/>
                <w:szCs w:val="24"/>
              </w:rPr>
              <w:t>вырабатывает практические навыки для реализации действий экспортера и импортера в конкретных ситуациях</w:t>
            </w:r>
          </w:p>
          <w:p w:rsidR="00B952D5" w:rsidRPr="00AE2C6E" w:rsidRDefault="00B952D5" w:rsidP="00B952D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9" w:type="pct"/>
          </w:tcPr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AE2C6E">
              <w:rPr>
                <w:rFonts w:ascii="Arial" w:hAnsi="Arial" w:cs="Arial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952D5" w:rsidRPr="00AE2C6E" w:rsidRDefault="00B952D5" w:rsidP="00B952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E2C6E">
              <w:rPr>
                <w:rFonts w:ascii="Arial" w:hAnsi="Arial" w:cs="Arial"/>
                <w:sz w:val="24"/>
                <w:szCs w:val="24"/>
              </w:rPr>
              <w:t>Предусмотренная форма: Д</w:t>
            </w:r>
            <w:r w:rsidRPr="00AE2C6E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 xml:space="preserve">ругие формы контроля (аттестация по результатам семестра на </w:t>
            </w:r>
            <w:proofErr w:type="gramStart"/>
            <w:r w:rsidRPr="00AE2C6E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основании</w:t>
            </w:r>
            <w:proofErr w:type="gramEnd"/>
            <w:r w:rsidRPr="00AE2C6E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 xml:space="preserve"> полученных оценок)</w:t>
            </w:r>
          </w:p>
        </w:tc>
      </w:tr>
    </w:tbl>
    <w:p w:rsidR="00AA0512" w:rsidRPr="00AE2C6E" w:rsidRDefault="00AA0512" w:rsidP="00AE2C6E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AE2C6E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01C" w:rsidRDefault="00F4301C" w:rsidP="008F3AF3">
      <w:pPr>
        <w:spacing w:after="0" w:line="240" w:lineRule="auto"/>
      </w:pPr>
      <w:r>
        <w:separator/>
      </w:r>
    </w:p>
  </w:endnote>
  <w:endnote w:type="continuationSeparator" w:id="0">
    <w:p w:rsidR="00F4301C" w:rsidRDefault="00F4301C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AE2C6E">
          <w:rPr>
            <w:noProof/>
          </w:rPr>
          <w:t>3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01C" w:rsidRDefault="00F4301C" w:rsidP="008F3AF3">
      <w:pPr>
        <w:spacing w:after="0" w:line="240" w:lineRule="auto"/>
      </w:pPr>
      <w:r>
        <w:separator/>
      </w:r>
    </w:p>
  </w:footnote>
  <w:footnote w:type="continuationSeparator" w:id="0">
    <w:p w:rsidR="00F4301C" w:rsidRDefault="00F4301C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6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0D3C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758A0"/>
    <w:rsid w:val="002946D5"/>
    <w:rsid w:val="00294B26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80B01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21637"/>
    <w:rsid w:val="00646A58"/>
    <w:rsid w:val="0064733F"/>
    <w:rsid w:val="00647989"/>
    <w:rsid w:val="006576C6"/>
    <w:rsid w:val="00680743"/>
    <w:rsid w:val="0068079E"/>
    <w:rsid w:val="006A2399"/>
    <w:rsid w:val="006B6A63"/>
    <w:rsid w:val="006C3DF5"/>
    <w:rsid w:val="006D447F"/>
    <w:rsid w:val="006E4686"/>
    <w:rsid w:val="006E6B15"/>
    <w:rsid w:val="007348FA"/>
    <w:rsid w:val="0075444F"/>
    <w:rsid w:val="00771617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23A9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67B11"/>
    <w:rsid w:val="00A91058"/>
    <w:rsid w:val="00AA0512"/>
    <w:rsid w:val="00AC5E9F"/>
    <w:rsid w:val="00AD501C"/>
    <w:rsid w:val="00AE2C6E"/>
    <w:rsid w:val="00AE5D63"/>
    <w:rsid w:val="00AE73C4"/>
    <w:rsid w:val="00AE7BEF"/>
    <w:rsid w:val="00AF3833"/>
    <w:rsid w:val="00B30397"/>
    <w:rsid w:val="00B33B06"/>
    <w:rsid w:val="00B37D87"/>
    <w:rsid w:val="00B57280"/>
    <w:rsid w:val="00B712EC"/>
    <w:rsid w:val="00B90923"/>
    <w:rsid w:val="00B952D5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66A15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4301C"/>
    <w:rsid w:val="00F447EE"/>
    <w:rsid w:val="00F73F9C"/>
    <w:rsid w:val="00F836EE"/>
    <w:rsid w:val="00FB113D"/>
    <w:rsid w:val="00FC5F29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AE2C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AE2C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4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eaeunion.org.ru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export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080F8-8C64-4A35-94E9-8A7367D48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1788</Words>
  <Characters>10193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18</cp:revision>
  <cp:lastPrinted>2017-07-06T06:55:00Z</cp:lastPrinted>
  <dcterms:created xsi:type="dcterms:W3CDTF">2023-11-11T08:28:00Z</dcterms:created>
  <dcterms:modified xsi:type="dcterms:W3CDTF">2025-12-09T08:13:00Z</dcterms:modified>
</cp:coreProperties>
</file>