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7B11" w:rsidRPr="001D0D3C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6B2DFF" w:rsidRDefault="00A67B11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67B11" w:rsidRPr="001D0D3C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67B11" w:rsidRPr="006B2DFF" w:rsidRDefault="00A67B11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7B11" w:rsidRPr="001D0D3C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6B2DFF" w:rsidRDefault="00A67B11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A67B11" w:rsidRPr="006B2DFF" w:rsidRDefault="00A67B11" w:rsidP="009F5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1D0D3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1D0D3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1D0D3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1D0D3C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1D0D3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1D0D3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1D0D3C" w:rsidRPr="001D0D3C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D0D3C" w:rsidRPr="001D0D3C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0D3C" w:rsidRPr="001D0D3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1637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1D0D3C" w:rsidRPr="001D0D3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1637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1D0D3C" w:rsidRPr="001D0D3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1637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21637" w:rsidRDefault="00A67B11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1637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FC5F2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21637">
              <w:rPr>
                <w:rFonts w:ascii="Times New Roman" w:hAnsi="Times New Roman"/>
                <w:b/>
                <w:sz w:val="28"/>
                <w:szCs w:val="28"/>
              </w:rPr>
              <w:t xml:space="preserve">9 </w:t>
            </w:r>
            <w:r w:rsidR="00FC5F2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71617" w:rsidRPr="00621637">
              <w:rPr>
                <w:rFonts w:ascii="Times New Roman" w:hAnsi="Times New Roman"/>
                <w:b/>
                <w:sz w:val="28"/>
                <w:szCs w:val="28"/>
              </w:rPr>
              <w:t>ЭКСПОРТНЫЙ МЕНЕДЖМЕНТ</w:t>
            </w: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1D0D3C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1D0D3C">
              <w:rPr>
                <w:rFonts w:ascii="Times New Roman" w:hAnsi="Times New Roman"/>
                <w:sz w:val="24"/>
                <w:szCs w:val="24"/>
              </w:rPr>
              <w:t>36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1D0D3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D0D3C" w:rsidRPr="001D0D3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1D0D3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1D0D3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1D0D3C" w:rsidRDefault="00A67B11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1D0D3C">
        <w:rPr>
          <w:rFonts w:ascii="Times New Roman" w:hAnsi="Times New Roman"/>
          <w:sz w:val="24"/>
          <w:szCs w:val="24"/>
        </w:rPr>
        <w:t>202</w:t>
      </w:r>
      <w:r w:rsidR="00294B26">
        <w:rPr>
          <w:rFonts w:ascii="Times New Roman" w:hAnsi="Times New Roman"/>
          <w:sz w:val="24"/>
          <w:szCs w:val="24"/>
        </w:rPr>
        <w:t>5</w:t>
      </w:r>
    </w:p>
    <w:p w:rsidR="00AD501C" w:rsidRPr="001D0D3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1D0D3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1D0D3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21637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21637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21637">
        <w:rPr>
          <w:rFonts w:ascii="Times New Roman" w:hAnsi="Times New Roman"/>
          <w:sz w:val="28"/>
          <w:szCs w:val="28"/>
        </w:rPr>
        <w:t>с целью</w:t>
      </w:r>
      <w:r w:rsidR="00485F26" w:rsidRPr="00621637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21637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1D0D3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1D0D3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0B01" w:rsidRDefault="00380B01" w:rsidP="00380B0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380B01" w:rsidRDefault="00380B01" w:rsidP="00380B0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0B01" w:rsidRDefault="00380B01" w:rsidP="00380B0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972758" w:rsidRPr="001D0D3C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1D0D3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1D0D3C" w:rsidRPr="001D0D3C" w:rsidTr="00EA29FF">
        <w:tc>
          <w:tcPr>
            <w:tcW w:w="9638" w:type="dxa"/>
          </w:tcPr>
          <w:p w:rsidR="00A91058" w:rsidRPr="001D0D3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1D0D3C" w:rsidRPr="001D0D3C" w:rsidTr="00EA29FF">
        <w:tc>
          <w:tcPr>
            <w:tcW w:w="9638" w:type="dxa"/>
          </w:tcPr>
          <w:p w:rsidR="00A91058" w:rsidRPr="001D0D3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1D0D3C" w:rsidRPr="001D0D3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1D0D3C" w:rsidRDefault="00A67B11" w:rsidP="00294B26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1D0D3C" w:rsidRPr="001D0D3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1D0D3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1D0D3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1D0D3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1D0D3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1D0D3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1D0D3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1D0D3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br w:type="page"/>
      </w:r>
    </w:p>
    <w:p w:rsidR="008F3AF3" w:rsidRPr="00621637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1D0D3C" w:rsidRPr="001D0D3C" w:rsidTr="0080401A">
        <w:tc>
          <w:tcPr>
            <w:tcW w:w="7650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4</w:t>
            </w: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1D0D3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5</w:t>
            </w: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1D0D3C" w:rsidRDefault="00B952D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8</w:t>
            </w:r>
          </w:p>
        </w:tc>
      </w:tr>
      <w:tr w:rsidR="001D0D3C" w:rsidRPr="001D0D3C" w:rsidTr="0080401A">
        <w:tc>
          <w:tcPr>
            <w:tcW w:w="7650" w:type="dxa"/>
          </w:tcPr>
          <w:p w:rsidR="00DF3D88" w:rsidRPr="001D0D3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1D0D3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1D0D3C" w:rsidRDefault="00B952D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1D0D3C">
              <w:rPr>
                <w:szCs w:val="24"/>
              </w:rPr>
              <w:t>9</w:t>
            </w:r>
          </w:p>
        </w:tc>
      </w:tr>
    </w:tbl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21637" w:rsidRDefault="008F3AF3" w:rsidP="00621637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br w:type="page"/>
      </w:r>
      <w:r w:rsidRPr="00621637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1D0D3C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1D0D3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1D0D3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1D0D3C">
        <w:rPr>
          <w:rFonts w:ascii="Times New Roman" w:hAnsi="Times New Roman"/>
          <w:sz w:val="24"/>
          <w:szCs w:val="24"/>
        </w:rPr>
        <w:t xml:space="preserve"> </w:t>
      </w:r>
      <w:bookmarkEnd w:id="3"/>
      <w:r w:rsidR="00771617" w:rsidRPr="001D0D3C">
        <w:rPr>
          <w:rFonts w:ascii="Times New Roman" w:hAnsi="Times New Roman"/>
          <w:iCs/>
          <w:sz w:val="24"/>
          <w:szCs w:val="24"/>
        </w:rPr>
        <w:t>Экспортный менеджмент</w:t>
      </w:r>
      <w:r w:rsidR="00771617" w:rsidRPr="001D0D3C">
        <w:rPr>
          <w:rFonts w:ascii="Times New Roman" w:hAnsi="Times New Roman"/>
          <w:sz w:val="24"/>
          <w:szCs w:val="24"/>
        </w:rPr>
        <w:t xml:space="preserve"> </w:t>
      </w:r>
      <w:r w:rsidRPr="001D0D3C">
        <w:rPr>
          <w:rFonts w:ascii="Times New Roman" w:hAnsi="Times New Roman"/>
          <w:sz w:val="24"/>
          <w:szCs w:val="24"/>
        </w:rPr>
        <w:t>является</w:t>
      </w:r>
      <w:r w:rsidR="00485F26" w:rsidRPr="001D0D3C">
        <w:rPr>
          <w:rFonts w:ascii="Times New Roman" w:hAnsi="Times New Roman"/>
          <w:sz w:val="24"/>
          <w:szCs w:val="24"/>
        </w:rPr>
        <w:t xml:space="preserve"> вариативной</w:t>
      </w:r>
      <w:r w:rsidRPr="001D0D3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1D0D3C">
        <w:rPr>
          <w:rFonts w:ascii="Times New Roman" w:hAnsi="Times New Roman"/>
          <w:sz w:val="24"/>
          <w:szCs w:val="24"/>
        </w:rPr>
        <w:t>.</w:t>
      </w:r>
    </w:p>
    <w:p w:rsidR="0006048C" w:rsidRPr="001D0D3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1D0D3C">
        <w:rPr>
          <w:rFonts w:ascii="Times New Roman" w:hAnsi="Times New Roman"/>
          <w:sz w:val="24"/>
          <w:szCs w:val="24"/>
        </w:rPr>
        <w:t xml:space="preserve"> учебной</w:t>
      </w:r>
      <w:r w:rsidRPr="001D0D3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D0D3C" w:rsidRPr="001D0D3C" w:rsidTr="0019434A">
        <w:trPr>
          <w:trHeight w:val="664"/>
        </w:trPr>
        <w:tc>
          <w:tcPr>
            <w:tcW w:w="2507" w:type="pct"/>
            <w:vAlign w:val="center"/>
          </w:tcPr>
          <w:p w:rsidR="0019434A" w:rsidRPr="001D0D3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1D0D3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D0D3C" w:rsidRPr="001D0D3C" w:rsidTr="0019434A">
        <w:trPr>
          <w:trHeight w:val="279"/>
        </w:trPr>
        <w:tc>
          <w:tcPr>
            <w:tcW w:w="2507" w:type="pct"/>
          </w:tcPr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-прогнозировать и осуществлять выбор направлений работы на внешних рынках, ориентироваться на получение оптимального эффекта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1D0D3C" w:rsidRDefault="00B952D5" w:rsidP="00B952D5">
            <w:pPr>
              <w:pStyle w:val="a8"/>
              <w:tabs>
                <w:tab w:val="left" w:pos="291"/>
              </w:tabs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1D0D3C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</w:tr>
    </w:tbl>
    <w:p w:rsidR="0006048C" w:rsidRPr="001D0D3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1D0D3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1D0D3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494"/>
        <w:gridCol w:w="2010"/>
        <w:gridCol w:w="1691"/>
        <w:gridCol w:w="1413"/>
        <w:gridCol w:w="1317"/>
        <w:gridCol w:w="1929"/>
      </w:tblGrid>
      <w:tr w:rsidR="001D0D3C" w:rsidRPr="001D0D3C" w:rsidTr="005E72CD">
        <w:tc>
          <w:tcPr>
            <w:tcW w:w="826" w:type="pct"/>
            <w:vMerge w:val="restart"/>
          </w:tcPr>
          <w:p w:rsidR="005E72CD" w:rsidRPr="001D0D3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1D0D3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1D0D3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1D0D3C" w:rsidRPr="001D0D3C" w:rsidTr="005E72CD">
        <w:trPr>
          <w:trHeight w:val="525"/>
        </w:trPr>
        <w:tc>
          <w:tcPr>
            <w:tcW w:w="826" w:type="pct"/>
            <w:vMerge/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1D0D3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1D0D3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D0D3C" w:rsidRPr="001D0D3C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1D0D3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1D0D3C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1D0D3C" w:rsidRDefault="00771617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Экспортный 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1D0D3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1D0D3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1D0D3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1D0D3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1D0D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1D0D3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1D0D3C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1D0D3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br w:type="page"/>
      </w:r>
    </w:p>
    <w:p w:rsidR="0006048C" w:rsidRPr="00621637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1D0D3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1D0D3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1D0D3C" w:rsidRPr="001D0D3C" w:rsidTr="007254E9">
        <w:trPr>
          <w:trHeight w:val="490"/>
        </w:trPr>
        <w:tc>
          <w:tcPr>
            <w:tcW w:w="4316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1D0D3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1D0D3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D0D3C" w:rsidRPr="001D0D3C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1D0D3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1D0D3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1D0D3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D0D3C" w:rsidRPr="001D0D3C" w:rsidTr="0041530A">
        <w:trPr>
          <w:trHeight w:val="65"/>
        </w:trPr>
        <w:tc>
          <w:tcPr>
            <w:tcW w:w="4316" w:type="pct"/>
            <w:vAlign w:val="center"/>
          </w:tcPr>
          <w:p w:rsidR="0006048C" w:rsidRPr="001D0D3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1D0D3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1D0D3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1D0D3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1D0D3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1D0D3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1D0D3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1D0D3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1D0D3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21637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52D5" w:rsidRPr="00621637">
        <w:rPr>
          <w:rFonts w:ascii="Times New Roman" w:hAnsi="Times New Roman"/>
          <w:b/>
          <w:sz w:val="24"/>
          <w:szCs w:val="24"/>
        </w:rPr>
        <w:t>Экспортный менеджмент</w:t>
      </w:r>
    </w:p>
    <w:tbl>
      <w:tblPr>
        <w:tblW w:w="51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7"/>
        <w:gridCol w:w="10366"/>
        <w:gridCol w:w="908"/>
      </w:tblGrid>
      <w:tr w:rsidR="001D0D3C" w:rsidRPr="00B952D5" w:rsidTr="00B952D5">
        <w:trPr>
          <w:trHeight w:val="20"/>
          <w:tblHeader/>
        </w:trPr>
        <w:tc>
          <w:tcPr>
            <w:tcW w:w="1289" w:type="pct"/>
            <w:vAlign w:val="center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2" w:type="pct"/>
            <w:vAlign w:val="center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9" w:type="pct"/>
            <w:vAlign w:val="center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1D0D3C" w:rsidRPr="00B952D5" w:rsidTr="00B952D5">
        <w:trPr>
          <w:trHeight w:val="20"/>
          <w:tblHeader/>
        </w:trPr>
        <w:tc>
          <w:tcPr>
            <w:tcW w:w="128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D0D3C" w:rsidRPr="00B952D5" w:rsidTr="00B952D5">
        <w:trPr>
          <w:trHeight w:val="20"/>
        </w:trPr>
        <w:tc>
          <w:tcPr>
            <w:tcW w:w="4701" w:type="pct"/>
            <w:gridSpan w:val="2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Раздел 1. Основы международного менеджмента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Понятие и виды внешнеэкономической деятельности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Виды и формы ВЭД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Признаки внешнеэкономической деятельности 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Внешнеэкономический потенциал региона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Экспорт как форма внешнеэкономической деятельности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Понятие экспорта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преимущества экспортной деятельности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9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Этапы реформирования и становления ВЭД в России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5000" w:type="pct"/>
            <w:gridSpan w:val="3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>Раздел 2 Управление экспортной деятельностью на предприятии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Формирование экспортной стратегии предприятия: оценка экспортного потенциала и внешних рынков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192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Факторы, влияющие на формирование стратегии предприятия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92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методы международной сегментации и выбора целевого рынка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этапы анализа внешнего рынка.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Основные виды торговых посредников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216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1. Оценка экспортного потенциала Тюменской области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  <w:tcBorders>
              <w:top w:val="single" w:sz="4" w:space="0" w:color="auto"/>
            </w:tcBorders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Основы государственного регулирования экспорта в РФ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  <w:tcBorders>
              <w:top w:val="single" w:sz="4" w:space="0" w:color="auto"/>
            </w:tcBorders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</w:tcBorders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1D0D3C" w:rsidTr="00B952D5">
        <w:trPr>
          <w:trHeight w:val="823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Направления торговой политики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Основные принципы государственного регулирования внешнеторговой деятельности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Таможенный Кодекс ЕАЭС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Единая система тарифных преференций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Контроль за экспортом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4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2.3. Организация управления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внешнеэкономической деятельностью предприятия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63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Изучение внешней и внутренней среды предприятия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54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Планирование и оценка внешнеэкономической деятельности предприятия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21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2.4.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Переговоры с покупателем и заключение международного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lastRenderedPageBreak/>
              <w:t>контракта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1D0D3C" w:rsidTr="00B952D5">
        <w:trPr>
          <w:trHeight w:val="554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Выбор иностранного партнера</w:t>
            </w:r>
            <w:r w:rsidRPr="001D0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и особенности мировых цен</w:t>
            </w:r>
            <w:r w:rsidRPr="001D0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контрактной цены</w:t>
            </w:r>
            <w:r w:rsidRPr="001D0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Подготовка и оформление сделок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2. Выбор страны для экспорта товара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3. Выбор покупателя для экспорта товара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4. Составление плана переговоров с покупателем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2.5.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Методики оценки эффективности экспортной деятельности предприятия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Методологические принципы определения эффективности внешнеторговых операций.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Система показателей эффекта и эффективности экспортных операций.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5 Расчет минимально допустимой экспортной цены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6 Расчет экспортного дохода и экспортной прибыли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7 Расчет маржинальной рентабельности экспортного товара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8 Расчет суммарного экономического эффекта от экспорта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2.6.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Международная логистика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Особенности международных грузоперевозок различными видами транспорта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Технико-экономические особенности отдельных видов транспорта. 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7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Транспортно-экспедиторские операции с грузами.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7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Особенности организации доставки товаров различными видами транспорта.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107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Транспортная внешнеторговая документация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Практическое занятие № 9. Выбор транспорта для конкретной международной грузоперевозки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1D0D3C" w:rsidRPr="00B952D5" w:rsidTr="00B952D5">
        <w:trPr>
          <w:trHeight w:val="20"/>
        </w:trPr>
        <w:tc>
          <w:tcPr>
            <w:tcW w:w="128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Тема 2.7.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Валютно-финансовые и платежные условия экспортных сделок</w:t>
            </w:r>
          </w:p>
        </w:tc>
        <w:tc>
          <w:tcPr>
            <w:tcW w:w="3412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5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D0D3C" w:rsidRPr="001D0D3C" w:rsidTr="00B952D5">
        <w:trPr>
          <w:trHeight w:val="493"/>
        </w:trPr>
        <w:tc>
          <w:tcPr>
            <w:tcW w:w="1289" w:type="pct"/>
            <w:vMerge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1D0D3C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D3C">
              <w:rPr>
                <w:rFonts w:ascii="Times New Roman" w:hAnsi="Times New Roman"/>
                <w:sz w:val="24"/>
                <w:szCs w:val="24"/>
              </w:rPr>
              <w:t xml:space="preserve">Валюта цены и валюта платежа;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Условия платежа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Формы международных расчетов.</w:t>
            </w:r>
          </w:p>
          <w:p w:rsidR="00B952D5" w:rsidRPr="00B952D5" w:rsidRDefault="00B952D5" w:rsidP="00B95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Банковские гарантии</w:t>
            </w:r>
            <w:r w:rsidRPr="001D0D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Основы валютного регулирования и валютного контроля в РФ</w:t>
            </w:r>
          </w:p>
        </w:tc>
        <w:tc>
          <w:tcPr>
            <w:tcW w:w="299" w:type="pct"/>
            <w:vMerge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20"/>
        </w:trPr>
        <w:tc>
          <w:tcPr>
            <w:tcW w:w="4701" w:type="pct"/>
            <w:gridSpan w:val="2"/>
          </w:tcPr>
          <w:p w:rsidR="00B952D5" w:rsidRPr="00B952D5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</w:t>
            </w:r>
            <w:r w:rsidRPr="001D0D3C">
              <w:rPr>
                <w:rFonts w:ascii="Times New Roman" w:hAnsi="Times New Roman"/>
                <w:iCs/>
                <w:sz w:val="24"/>
                <w:szCs w:val="24"/>
              </w:rPr>
              <w:t xml:space="preserve"> на основании полученных оценок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D3C" w:rsidRPr="00B952D5" w:rsidTr="00B952D5">
        <w:trPr>
          <w:trHeight w:val="315"/>
        </w:trPr>
        <w:tc>
          <w:tcPr>
            <w:tcW w:w="4701" w:type="pct"/>
            <w:gridSpan w:val="2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9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1D0D3C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1D0D3C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1D0D3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1D0D3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21637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21637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21637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21637">
        <w:rPr>
          <w:rFonts w:ascii="Times New Roman" w:hAnsi="Times New Roman"/>
          <w:b/>
          <w:sz w:val="24"/>
          <w:szCs w:val="24"/>
        </w:rPr>
        <w:t>ПРОГРАММЫ УЧЕБНОЙ ДИСЦИПЛИНЫ</w:t>
      </w:r>
      <w:bookmarkStart w:id="5" w:name="_GoBack"/>
      <w:bookmarkEnd w:id="5"/>
    </w:p>
    <w:p w:rsidR="0006048C" w:rsidRPr="001D0D3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3.1. Для реализац</w:t>
      </w:r>
      <w:r w:rsidR="00963EBB" w:rsidRPr="001D0D3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1D0D3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1D0D3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113D">
        <w:rPr>
          <w:rFonts w:ascii="Times New Roman" w:hAnsi="Times New Roman"/>
          <w:b/>
          <w:sz w:val="24"/>
          <w:szCs w:val="24"/>
        </w:rPr>
        <w:t>Кабинет «</w:t>
      </w:r>
      <w:r w:rsidR="009623A9" w:rsidRPr="00FB113D">
        <w:rPr>
          <w:rFonts w:ascii="Times New Roman" w:hAnsi="Times New Roman"/>
          <w:b/>
          <w:sz w:val="24"/>
          <w:szCs w:val="24"/>
        </w:rPr>
        <w:t>С</w:t>
      </w:r>
      <w:r w:rsidR="00B952D5" w:rsidRPr="00FB113D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r w:rsidRPr="00FB113D">
        <w:rPr>
          <w:rFonts w:ascii="Times New Roman" w:hAnsi="Times New Roman"/>
          <w:b/>
          <w:sz w:val="24"/>
          <w:szCs w:val="24"/>
        </w:rPr>
        <w:t>»,</w:t>
      </w:r>
      <w:r w:rsidRPr="001D0D3C">
        <w:rPr>
          <w:rFonts w:ascii="Times New Roman" w:hAnsi="Times New Roman"/>
          <w:sz w:val="24"/>
          <w:szCs w:val="24"/>
        </w:rPr>
        <w:t xml:space="preserve">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1D0D3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1D0D3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1D0D3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1D0D3C">
        <w:rPr>
          <w:rFonts w:ascii="Times New Roman" w:hAnsi="Times New Roman"/>
          <w:sz w:val="24"/>
          <w:szCs w:val="24"/>
        </w:rPr>
        <w:t>имеет</w:t>
      </w:r>
      <w:r w:rsidRPr="001D0D3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1D0D3C">
        <w:rPr>
          <w:rFonts w:ascii="Times New Roman" w:hAnsi="Times New Roman"/>
          <w:sz w:val="24"/>
          <w:szCs w:val="24"/>
        </w:rPr>
        <w:t>е</w:t>
      </w:r>
      <w:r w:rsidRPr="001D0D3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1D0D3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1D0D3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1D0D3C">
        <w:rPr>
          <w:szCs w:val="24"/>
        </w:rPr>
        <w:t>Печатные издания:</w:t>
      </w:r>
    </w:p>
    <w:p w:rsidR="00B952D5" w:rsidRPr="001D0D3C" w:rsidRDefault="00B952D5" w:rsidP="00B952D5">
      <w:pPr>
        <w:pStyle w:val="a8"/>
        <w:ind w:left="435"/>
        <w:jc w:val="both"/>
      </w:pPr>
      <w:r w:rsidRPr="001D0D3C">
        <w:t>1. Федеральный закон от 8 декабря 2003 г. № 164-ФЗ «Об основах государственного регулирования внешнеторговой деятельности в РФ» (в ред. от 13.07.2015)// СПС «КонсультантПлюс»</w:t>
      </w:r>
    </w:p>
    <w:p w:rsidR="00B952D5" w:rsidRPr="001D0D3C" w:rsidRDefault="00B952D5" w:rsidP="00B952D5">
      <w:pPr>
        <w:pStyle w:val="a8"/>
        <w:ind w:left="435"/>
        <w:jc w:val="both"/>
      </w:pPr>
      <w:r w:rsidRPr="001D0D3C">
        <w:t>2. 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48749)// Справочно-правовая система «КонсультантПлюс».</w:t>
      </w:r>
    </w:p>
    <w:p w:rsidR="00B30397" w:rsidRPr="001D0D3C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1D0D3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3.2.2. Электронные издания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 xml:space="preserve">1. Учебное пособие для начинающих экспортеров </w:t>
      </w:r>
      <w:bookmarkStart w:id="6" w:name="_Hlk75456268"/>
      <w:r w:rsidRPr="001D0D3C">
        <w:rPr>
          <w:rFonts w:ascii="Times New Roman" w:hAnsi="Times New Roman"/>
          <w:sz w:val="24"/>
          <w:szCs w:val="24"/>
        </w:rPr>
        <w:t xml:space="preserve">[Электронный ресурс]: </w:t>
      </w:r>
      <w:bookmarkEnd w:id="6"/>
      <w:r w:rsidRPr="001D0D3C">
        <w:rPr>
          <w:rFonts w:ascii="Times New Roman" w:hAnsi="Times New Roman"/>
          <w:sz w:val="24"/>
          <w:szCs w:val="24"/>
        </w:rPr>
        <w:t xml:space="preserve">Школа экспорта АО «Российский экспортный центр», 2016. – URL: </w:t>
      </w:r>
      <w:hyperlink r:id="rId13" w:history="1">
        <w:r w:rsidRPr="001D0D3C">
          <w:rPr>
            <w:rStyle w:val="ae"/>
            <w:rFonts w:ascii="Times New Roman" w:hAnsi="Times New Roman"/>
            <w:color w:val="auto"/>
            <w:sz w:val="24"/>
            <w:szCs w:val="24"/>
          </w:rPr>
          <w:t>www.exportedu.ru</w:t>
        </w:r>
      </w:hyperlink>
      <w:r w:rsidRPr="001D0D3C">
        <w:rPr>
          <w:rFonts w:ascii="Times New Roman" w:hAnsi="Times New Roman"/>
          <w:sz w:val="24"/>
          <w:szCs w:val="24"/>
        </w:rPr>
        <w:t xml:space="preserve"> 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2. Официальный сайт ЕАЭС [Электронный ресурс]: URL</w:t>
      </w:r>
      <w:r w:rsidRPr="001D0D3C">
        <w:rPr>
          <w:rFonts w:ascii="Times New Roman" w:hAnsi="Times New Roman"/>
          <w:bCs/>
          <w:sz w:val="24"/>
          <w:szCs w:val="24"/>
        </w:rPr>
        <w:t xml:space="preserve"> /</w:t>
      </w:r>
      <w:r w:rsidRPr="001D0D3C">
        <w:rPr>
          <w:rFonts w:ascii="Times New Roman" w:hAnsi="Times New Roman"/>
          <w:sz w:val="24"/>
          <w:szCs w:val="24"/>
        </w:rPr>
        <w:t xml:space="preserve">/ </w:t>
      </w:r>
      <w:hyperlink r:id="rId14" w:history="1">
        <w:r w:rsidRPr="001D0D3C">
          <w:rPr>
            <w:rStyle w:val="ae"/>
            <w:rFonts w:ascii="Times New Roman" w:hAnsi="Times New Roman"/>
            <w:color w:val="auto"/>
            <w:sz w:val="24"/>
            <w:szCs w:val="24"/>
          </w:rPr>
          <w:t>http://www.eaeunion.org.</w:t>
        </w:r>
        <w:r w:rsidRPr="001D0D3C">
          <w:rPr>
            <w:rStyle w:val="ae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1D0D3C">
        <w:rPr>
          <w:rFonts w:ascii="Times New Roman" w:hAnsi="Times New Roman"/>
          <w:sz w:val="24"/>
          <w:szCs w:val="24"/>
        </w:rPr>
        <w:t xml:space="preserve"> </w:t>
      </w:r>
    </w:p>
    <w:p w:rsidR="0006048C" w:rsidRPr="001D0D3C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1D0D3C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3.2.3. Дополнительные</w:t>
      </w:r>
      <w:r w:rsidR="00B952D5" w:rsidRPr="001D0D3C">
        <w:rPr>
          <w:rFonts w:ascii="Times New Roman" w:hAnsi="Times New Roman"/>
          <w:sz w:val="24"/>
          <w:szCs w:val="24"/>
        </w:rPr>
        <w:t xml:space="preserve"> </w:t>
      </w:r>
      <w:r w:rsidRPr="001D0D3C">
        <w:rPr>
          <w:rFonts w:ascii="Times New Roman" w:hAnsi="Times New Roman"/>
          <w:sz w:val="24"/>
          <w:szCs w:val="24"/>
        </w:rPr>
        <w:t>источники: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 xml:space="preserve">1. Радион М.А., Погодаева Т.В. Международные контракты и организация внешнеэкономических операций: учебное пособие. Тюмень: Издательство Тюменского государственного университета, 2016. – 292 с. </w:t>
      </w:r>
    </w:p>
    <w:p w:rsidR="00B952D5" w:rsidRPr="001D0D3C" w:rsidRDefault="00B952D5" w:rsidP="00B952D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1D0D3C">
        <w:rPr>
          <w:rFonts w:ascii="Times New Roman" w:hAnsi="Times New Roman"/>
          <w:sz w:val="24"/>
          <w:szCs w:val="24"/>
        </w:rPr>
        <w:t>2. Стровский Л.Е.  Внешнеэкономическая деятельность предприятия: учебник/ под ред. Л.Е. Стровского. – 5-е изд., перераб. и доп. – М.: ЮНИТИ-ДАНА, 2017. – 478 с</w:t>
      </w:r>
    </w:p>
    <w:p w:rsidR="0006048C" w:rsidRPr="001D0D3C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52D5" w:rsidRPr="001D0D3C" w:rsidRDefault="00B952D5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952D5" w:rsidRPr="001D0D3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21637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637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3772"/>
        <w:gridCol w:w="2895"/>
      </w:tblGrid>
      <w:tr w:rsidR="001D0D3C" w:rsidRPr="00B952D5" w:rsidTr="00B95043">
        <w:trPr>
          <w:tblHeader/>
        </w:trPr>
        <w:tc>
          <w:tcPr>
            <w:tcW w:w="1617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914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B952D5" w:rsidRPr="00B952D5" w:rsidRDefault="00B952D5" w:rsidP="00B95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1D0D3C" w:rsidRPr="00B952D5" w:rsidTr="00B95043">
        <w:tc>
          <w:tcPr>
            <w:tcW w:w="1617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Знания:       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  <w:tc>
          <w:tcPr>
            <w:tcW w:w="1914" w:type="pct"/>
          </w:tcPr>
          <w:p w:rsidR="00B952D5" w:rsidRPr="00B952D5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Демонстрирует понимание: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имеет представление об методах сбора и обработки коммерческой информации для проведения исследований и оценки перспектив зарубежных рынков</w:t>
            </w:r>
          </w:p>
          <w:p w:rsidR="00B952D5" w:rsidRPr="00B952D5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B952D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  <w:tr w:rsidR="001D0D3C" w:rsidRPr="00B952D5" w:rsidTr="00B95043">
        <w:tc>
          <w:tcPr>
            <w:tcW w:w="1617" w:type="pct"/>
          </w:tcPr>
          <w:p w:rsidR="00B952D5" w:rsidRPr="00B952D5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прогнозировать и осуществлять выбор направлений работы на внешних рынках, ориентироваться на получение оптимального эффекта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B952D5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pct"/>
          </w:tcPr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 - прогнозирует и осуществляет выбор направлений работы на внешних рынках, ориентируется на получение оптимального эффекта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B952D5">
              <w:rPr>
                <w:rFonts w:ascii="Times New Roman" w:hAnsi="Times New Roman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:rsidR="00B952D5" w:rsidRPr="00B952D5" w:rsidRDefault="00B952D5" w:rsidP="00B95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52D5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2D5" w:rsidRPr="00B952D5" w:rsidRDefault="00B952D5" w:rsidP="00B95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2D5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B952D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</w:tbl>
    <w:p w:rsidR="00AA0512" w:rsidRPr="001D0D3C" w:rsidRDefault="00AA0512" w:rsidP="00B952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1D0D3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399" w:rsidRDefault="006A2399" w:rsidP="008F3AF3">
      <w:pPr>
        <w:spacing w:after="0" w:line="240" w:lineRule="auto"/>
      </w:pPr>
      <w:r>
        <w:separator/>
      </w:r>
    </w:p>
  </w:endnote>
  <w:endnote w:type="continuationSeparator" w:id="0">
    <w:p w:rsidR="006A2399" w:rsidRDefault="006A239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FB113D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399" w:rsidRDefault="006A2399" w:rsidP="008F3AF3">
      <w:pPr>
        <w:spacing w:after="0" w:line="240" w:lineRule="auto"/>
      </w:pPr>
      <w:r>
        <w:separator/>
      </w:r>
    </w:p>
  </w:footnote>
  <w:footnote w:type="continuationSeparator" w:id="0">
    <w:p w:rsidR="006A2399" w:rsidRDefault="006A239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0D3C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758A0"/>
    <w:rsid w:val="002946D5"/>
    <w:rsid w:val="00294B26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0B01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1637"/>
    <w:rsid w:val="00646A58"/>
    <w:rsid w:val="0064733F"/>
    <w:rsid w:val="00647989"/>
    <w:rsid w:val="006576C6"/>
    <w:rsid w:val="00680743"/>
    <w:rsid w:val="0068079E"/>
    <w:rsid w:val="006A2399"/>
    <w:rsid w:val="006B6A63"/>
    <w:rsid w:val="006C3DF5"/>
    <w:rsid w:val="006D447F"/>
    <w:rsid w:val="006E4686"/>
    <w:rsid w:val="006E6B15"/>
    <w:rsid w:val="007348FA"/>
    <w:rsid w:val="0075444F"/>
    <w:rsid w:val="00771617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23A9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67B1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3B06"/>
    <w:rsid w:val="00B37D87"/>
    <w:rsid w:val="00B57280"/>
    <w:rsid w:val="00B712EC"/>
    <w:rsid w:val="00B90923"/>
    <w:rsid w:val="00B952D5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66A15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447EE"/>
    <w:rsid w:val="00F73F9C"/>
    <w:rsid w:val="00F836EE"/>
    <w:rsid w:val="00FB113D"/>
    <w:rsid w:val="00FC5F29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F90E72-5A49-4EBA-A1D5-C307387D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xport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aeunion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E9F89-74DC-425B-82D4-B93C4DEAE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2023-11-11T08:28:00Z</dcterms:created>
  <dcterms:modified xsi:type="dcterms:W3CDTF">2025-11-30T05:54:00Z</dcterms:modified>
</cp:coreProperties>
</file>